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C15" w:rsidRDefault="00F91F4A" w:rsidP="0008579D">
      <w:pPr>
        <w:jc w:val="center"/>
        <w:rPr>
          <w:sz w:val="22"/>
          <w:szCs w:val="22"/>
        </w:rPr>
      </w:pPr>
      <w:bookmarkStart w:id="0" w:name="_GoBack"/>
      <w:bookmarkEnd w:id="0"/>
      <w:r>
        <w:rPr>
          <w:noProof/>
          <w:lang w:val="es-419" w:eastAsia="es-419"/>
        </w:rPr>
        <w:drawing>
          <wp:anchor distT="0" distB="0" distL="114300" distR="114300" simplePos="0" relativeHeight="251658240" behindDoc="0" locked="0" layoutInCell="1" allowOverlap="1">
            <wp:simplePos x="0" y="0"/>
            <wp:positionH relativeFrom="column">
              <wp:posOffset>3232150</wp:posOffset>
            </wp:positionH>
            <wp:positionV relativeFrom="paragraph">
              <wp:posOffset>0</wp:posOffset>
            </wp:positionV>
            <wp:extent cx="2811780" cy="685800"/>
            <wp:effectExtent l="0" t="0" r="762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11780" cy="685800"/>
                    </a:xfrm>
                    <a:prstGeom prst="rect">
                      <a:avLst/>
                    </a:prstGeom>
                  </pic:spPr>
                </pic:pic>
              </a:graphicData>
            </a:graphic>
            <wp14:sizeRelH relativeFrom="margin">
              <wp14:pctWidth>0</wp14:pctWidth>
            </wp14:sizeRelH>
            <wp14:sizeRelV relativeFrom="margin">
              <wp14:pctHeight>0</wp14:pctHeight>
            </wp14:sizeRelV>
          </wp:anchor>
        </w:drawing>
      </w:r>
    </w:p>
    <w:p w:rsidR="00350C15" w:rsidRDefault="00350C15" w:rsidP="0008579D">
      <w:pPr>
        <w:jc w:val="center"/>
        <w:rPr>
          <w:sz w:val="22"/>
          <w:szCs w:val="22"/>
        </w:rPr>
      </w:pPr>
    </w:p>
    <w:p w:rsidR="00350C15" w:rsidRDefault="00350C15" w:rsidP="0008579D">
      <w:pPr>
        <w:rPr>
          <w:sz w:val="22"/>
          <w:szCs w:val="22"/>
        </w:rPr>
      </w:pPr>
    </w:p>
    <w:p w:rsidR="00350C15" w:rsidRDefault="005E027A" w:rsidP="0008579D">
      <w:pPr>
        <w:pBdr>
          <w:top w:val="nil"/>
          <w:left w:val="nil"/>
          <w:bottom w:val="nil"/>
          <w:right w:val="nil"/>
          <w:between w:val="nil"/>
        </w:pBdr>
        <w:jc w:val="center"/>
        <w:rPr>
          <w:b/>
          <w:sz w:val="22"/>
          <w:szCs w:val="22"/>
        </w:rPr>
      </w:pPr>
      <w:r>
        <w:rPr>
          <w:b/>
          <w:sz w:val="22"/>
          <w:szCs w:val="22"/>
        </w:rPr>
        <w:t>MEMORANDO</w:t>
      </w:r>
    </w:p>
    <w:p w:rsidR="00350C15" w:rsidRDefault="00350C15" w:rsidP="0008579D">
      <w:pPr>
        <w:pBdr>
          <w:top w:val="nil"/>
          <w:left w:val="nil"/>
          <w:bottom w:val="nil"/>
          <w:right w:val="nil"/>
          <w:between w:val="nil"/>
        </w:pBdr>
        <w:jc w:val="center"/>
        <w:rPr>
          <w:b/>
          <w:sz w:val="22"/>
          <w:szCs w:val="22"/>
        </w:rPr>
      </w:pPr>
    </w:p>
    <w:p w:rsidR="00350C15" w:rsidRDefault="00350C15" w:rsidP="0008579D">
      <w:pPr>
        <w:pBdr>
          <w:top w:val="nil"/>
          <w:left w:val="nil"/>
          <w:bottom w:val="nil"/>
          <w:right w:val="nil"/>
          <w:between w:val="nil"/>
        </w:pBdr>
        <w:jc w:val="center"/>
        <w:rPr>
          <w:b/>
          <w:sz w:val="22"/>
          <w:szCs w:val="22"/>
        </w:rPr>
      </w:pPr>
    </w:p>
    <w:p w:rsidR="00350C15" w:rsidRDefault="005E027A" w:rsidP="0008579D">
      <w:pPr>
        <w:pBdr>
          <w:top w:val="nil"/>
          <w:left w:val="nil"/>
          <w:bottom w:val="nil"/>
          <w:right w:val="nil"/>
          <w:between w:val="nil"/>
        </w:pBdr>
        <w:rPr>
          <w:b/>
          <w:sz w:val="22"/>
          <w:szCs w:val="22"/>
        </w:rPr>
      </w:pPr>
      <w:r>
        <w:rPr>
          <w:b/>
          <w:sz w:val="22"/>
          <w:szCs w:val="22"/>
        </w:rPr>
        <w:t>PARA:</w:t>
      </w:r>
      <w:r>
        <w:rPr>
          <w:sz w:val="22"/>
          <w:szCs w:val="22"/>
        </w:rPr>
        <w:t xml:space="preserve"> </w:t>
      </w:r>
      <w:r>
        <w:rPr>
          <w:sz w:val="22"/>
          <w:szCs w:val="22"/>
        </w:rPr>
        <w:tab/>
      </w:r>
      <w:r>
        <w:rPr>
          <w:b/>
          <w:sz w:val="22"/>
          <w:szCs w:val="22"/>
        </w:rPr>
        <w:t>DAVID ANTONIO GARZÓN FANDIÑO</w:t>
      </w:r>
    </w:p>
    <w:p w:rsidR="00350C15" w:rsidRDefault="005E027A" w:rsidP="0008579D">
      <w:pPr>
        <w:pBdr>
          <w:top w:val="nil"/>
          <w:left w:val="nil"/>
          <w:bottom w:val="nil"/>
          <w:right w:val="nil"/>
          <w:between w:val="nil"/>
        </w:pBdr>
        <w:ind w:left="1418"/>
        <w:rPr>
          <w:sz w:val="22"/>
          <w:szCs w:val="22"/>
        </w:rPr>
      </w:pPr>
      <w:r>
        <w:rPr>
          <w:sz w:val="22"/>
          <w:szCs w:val="22"/>
        </w:rPr>
        <w:t xml:space="preserve">Subsecretario de Despacho Comisión Segunda Permanente de Gobierno </w:t>
      </w:r>
    </w:p>
    <w:p w:rsidR="00350C15" w:rsidRDefault="00350C15" w:rsidP="0008579D">
      <w:pPr>
        <w:pBdr>
          <w:top w:val="nil"/>
          <w:left w:val="nil"/>
          <w:bottom w:val="nil"/>
          <w:right w:val="nil"/>
          <w:between w:val="nil"/>
        </w:pBdr>
        <w:ind w:left="1418"/>
        <w:rPr>
          <w:sz w:val="22"/>
          <w:szCs w:val="22"/>
        </w:rPr>
      </w:pPr>
    </w:p>
    <w:p w:rsidR="00350C15" w:rsidRDefault="005E027A" w:rsidP="0008579D">
      <w:pPr>
        <w:jc w:val="both"/>
        <w:rPr>
          <w:b/>
          <w:sz w:val="22"/>
          <w:szCs w:val="22"/>
        </w:rPr>
      </w:pPr>
      <w:r>
        <w:rPr>
          <w:b/>
          <w:sz w:val="22"/>
          <w:szCs w:val="22"/>
        </w:rPr>
        <w:t xml:space="preserve">DE: </w:t>
      </w:r>
      <w:r>
        <w:rPr>
          <w:b/>
          <w:sz w:val="22"/>
          <w:szCs w:val="22"/>
        </w:rPr>
        <w:tab/>
      </w:r>
      <w:r>
        <w:rPr>
          <w:b/>
          <w:sz w:val="22"/>
          <w:szCs w:val="22"/>
        </w:rPr>
        <w:tab/>
        <w:t>GERMÁN AUGUSTO GARCÍA MAYA</w:t>
      </w:r>
    </w:p>
    <w:p w:rsidR="00350C15" w:rsidRDefault="005E027A" w:rsidP="0008579D">
      <w:pPr>
        <w:ind w:left="720" w:firstLine="720"/>
        <w:jc w:val="both"/>
        <w:rPr>
          <w:sz w:val="22"/>
          <w:szCs w:val="22"/>
        </w:rPr>
      </w:pPr>
      <w:r>
        <w:rPr>
          <w:sz w:val="22"/>
          <w:szCs w:val="22"/>
        </w:rPr>
        <w:t>Concejal de Bogotá, D. C. - Ponente</w:t>
      </w:r>
    </w:p>
    <w:p w:rsidR="00350C15" w:rsidRDefault="00350C15" w:rsidP="0008579D">
      <w:pPr>
        <w:pBdr>
          <w:top w:val="nil"/>
          <w:left w:val="nil"/>
          <w:bottom w:val="nil"/>
          <w:right w:val="nil"/>
          <w:between w:val="nil"/>
        </w:pBdr>
        <w:rPr>
          <w:sz w:val="22"/>
          <w:szCs w:val="22"/>
        </w:rPr>
      </w:pPr>
    </w:p>
    <w:p w:rsidR="00350C15" w:rsidRDefault="005E027A" w:rsidP="0008579D">
      <w:pPr>
        <w:pBdr>
          <w:top w:val="nil"/>
          <w:left w:val="nil"/>
          <w:bottom w:val="nil"/>
          <w:right w:val="nil"/>
          <w:between w:val="nil"/>
        </w:pBdr>
        <w:ind w:left="1418" w:hanging="1418"/>
        <w:jc w:val="both"/>
        <w:rPr>
          <w:sz w:val="22"/>
          <w:szCs w:val="22"/>
        </w:rPr>
      </w:pPr>
      <w:r>
        <w:rPr>
          <w:b/>
          <w:sz w:val="22"/>
          <w:szCs w:val="22"/>
        </w:rPr>
        <w:t>ASUNTO:</w:t>
      </w:r>
      <w:r>
        <w:rPr>
          <w:sz w:val="22"/>
          <w:szCs w:val="22"/>
        </w:rPr>
        <w:t xml:space="preserve"> </w:t>
      </w:r>
      <w:r>
        <w:rPr>
          <w:sz w:val="22"/>
          <w:szCs w:val="22"/>
        </w:rPr>
        <w:tab/>
        <w:t xml:space="preserve">Ponencia </w:t>
      </w:r>
      <w:r>
        <w:rPr>
          <w:b/>
          <w:sz w:val="22"/>
          <w:szCs w:val="22"/>
        </w:rPr>
        <w:t xml:space="preserve">POSITIVA CON MODIFICACIONES </w:t>
      </w:r>
      <w:r>
        <w:rPr>
          <w:sz w:val="22"/>
          <w:szCs w:val="22"/>
        </w:rPr>
        <w:t>para primer debate del Proyecto de Acuerdo No. 443 de 2025.</w:t>
      </w:r>
    </w:p>
    <w:p w:rsidR="00350C15" w:rsidRDefault="00350C15" w:rsidP="0008579D">
      <w:pPr>
        <w:pBdr>
          <w:top w:val="nil"/>
          <w:left w:val="nil"/>
          <w:bottom w:val="nil"/>
          <w:right w:val="nil"/>
          <w:between w:val="nil"/>
        </w:pBdr>
        <w:jc w:val="both"/>
        <w:rPr>
          <w:sz w:val="22"/>
          <w:szCs w:val="22"/>
        </w:rPr>
      </w:pPr>
    </w:p>
    <w:p w:rsidR="00350C15" w:rsidRDefault="00350C15" w:rsidP="0008579D">
      <w:pPr>
        <w:pBdr>
          <w:top w:val="nil"/>
          <w:left w:val="nil"/>
          <w:bottom w:val="nil"/>
          <w:right w:val="nil"/>
          <w:between w:val="nil"/>
        </w:pBdr>
        <w:jc w:val="both"/>
        <w:rPr>
          <w:sz w:val="22"/>
          <w:szCs w:val="22"/>
        </w:rPr>
      </w:pPr>
    </w:p>
    <w:p w:rsidR="00350C15" w:rsidRDefault="005E027A" w:rsidP="0008579D">
      <w:pPr>
        <w:pBdr>
          <w:top w:val="nil"/>
          <w:left w:val="nil"/>
          <w:bottom w:val="nil"/>
          <w:right w:val="nil"/>
          <w:between w:val="nil"/>
        </w:pBdr>
        <w:jc w:val="both"/>
        <w:rPr>
          <w:sz w:val="22"/>
          <w:szCs w:val="22"/>
        </w:rPr>
      </w:pPr>
      <w:r>
        <w:rPr>
          <w:sz w:val="22"/>
          <w:szCs w:val="22"/>
        </w:rPr>
        <w:t xml:space="preserve">Cordial saludo, </w:t>
      </w:r>
    </w:p>
    <w:p w:rsidR="00350C15" w:rsidRDefault="00350C15" w:rsidP="0008579D">
      <w:pPr>
        <w:pBdr>
          <w:top w:val="nil"/>
          <w:left w:val="nil"/>
          <w:bottom w:val="nil"/>
          <w:right w:val="nil"/>
          <w:between w:val="nil"/>
        </w:pBdr>
        <w:jc w:val="both"/>
        <w:rPr>
          <w:sz w:val="22"/>
          <w:szCs w:val="22"/>
        </w:rPr>
      </w:pPr>
    </w:p>
    <w:p w:rsidR="00350C15" w:rsidRDefault="005E027A" w:rsidP="0008579D">
      <w:pPr>
        <w:jc w:val="both"/>
        <w:rPr>
          <w:b/>
          <w:i/>
          <w:sz w:val="23"/>
          <w:szCs w:val="23"/>
        </w:rPr>
      </w:pPr>
      <w:r>
        <w:rPr>
          <w:sz w:val="22"/>
          <w:szCs w:val="22"/>
        </w:rPr>
        <w:t xml:space="preserve">En atención a la designación comunicada el pasado 05 de mayo de 2025 con CORDIS N. 2025IE8055 y dentro del término legal, me permito rendir </w:t>
      </w:r>
      <w:r>
        <w:rPr>
          <w:b/>
          <w:sz w:val="22"/>
          <w:szCs w:val="22"/>
        </w:rPr>
        <w:t>PONENCIA POSITIVA CON MODIFICACIONES</w:t>
      </w:r>
      <w:r>
        <w:rPr>
          <w:sz w:val="22"/>
          <w:szCs w:val="22"/>
        </w:rPr>
        <w:t xml:space="preserve"> para primer debate del Proyecto de Acuerdo No. 443 de 2025 </w:t>
      </w:r>
      <w:r>
        <w:rPr>
          <w:b/>
          <w:i/>
          <w:sz w:val="23"/>
          <w:szCs w:val="23"/>
        </w:rPr>
        <w:t>“Por medio del cual se establecen lineamientos para la racionalización normativa de los Acuerdos del Concejo de Bogotá y se crea el Observatorio de Seguimiento y</w:t>
      </w:r>
    </w:p>
    <w:p w:rsidR="00350C15" w:rsidRDefault="005E027A" w:rsidP="0008579D">
      <w:pPr>
        <w:jc w:val="both"/>
        <w:rPr>
          <w:sz w:val="22"/>
          <w:szCs w:val="22"/>
        </w:rPr>
      </w:pPr>
      <w:r>
        <w:rPr>
          <w:b/>
          <w:i/>
          <w:sz w:val="23"/>
          <w:szCs w:val="23"/>
        </w:rPr>
        <w:t>Evaluación del Cumplimiento Normativo (“Alfonso López Michelsen”) en Bogotá D.C.”.</w:t>
      </w:r>
      <w:r>
        <w:rPr>
          <w:sz w:val="22"/>
          <w:szCs w:val="22"/>
        </w:rPr>
        <w:t xml:space="preserve"> de autoría de los H. Concejales Juan Daniel Oviedo Arango, Emel Rojas Castillo y Samir Abisambra Vesga.</w:t>
      </w:r>
    </w:p>
    <w:p w:rsidR="00350C15" w:rsidRDefault="00350C15" w:rsidP="0008579D">
      <w:pPr>
        <w:rPr>
          <w:sz w:val="22"/>
          <w:szCs w:val="22"/>
        </w:rPr>
      </w:pPr>
    </w:p>
    <w:p w:rsidR="00350C15" w:rsidRDefault="00350C15" w:rsidP="0008579D">
      <w:pPr>
        <w:rPr>
          <w:sz w:val="22"/>
          <w:szCs w:val="22"/>
        </w:rPr>
      </w:pPr>
    </w:p>
    <w:p w:rsidR="00350C15" w:rsidRDefault="005E027A" w:rsidP="0008579D">
      <w:pPr>
        <w:rPr>
          <w:sz w:val="22"/>
          <w:szCs w:val="22"/>
        </w:rPr>
      </w:pPr>
      <w:r>
        <w:rPr>
          <w:sz w:val="22"/>
          <w:szCs w:val="22"/>
        </w:rPr>
        <w:t xml:space="preserve">Atentamente, </w:t>
      </w:r>
    </w:p>
    <w:p w:rsidR="00350C15" w:rsidRDefault="00350C15" w:rsidP="0008579D">
      <w:pPr>
        <w:rPr>
          <w:sz w:val="22"/>
          <w:szCs w:val="22"/>
        </w:rPr>
      </w:pPr>
    </w:p>
    <w:p w:rsidR="00350C15" w:rsidRDefault="00350C15" w:rsidP="0008579D">
      <w:pPr>
        <w:rPr>
          <w:sz w:val="22"/>
          <w:szCs w:val="22"/>
        </w:rPr>
      </w:pPr>
    </w:p>
    <w:p w:rsidR="00350C15" w:rsidRDefault="00350C15" w:rsidP="0008579D">
      <w:pPr>
        <w:rPr>
          <w:sz w:val="22"/>
          <w:szCs w:val="22"/>
        </w:rPr>
      </w:pPr>
    </w:p>
    <w:p w:rsidR="00350C15" w:rsidRDefault="00350C15" w:rsidP="0008579D">
      <w:pPr>
        <w:rPr>
          <w:sz w:val="22"/>
          <w:szCs w:val="22"/>
        </w:rPr>
      </w:pPr>
    </w:p>
    <w:p w:rsidR="00350C15" w:rsidRDefault="00350C15" w:rsidP="0008579D">
      <w:pPr>
        <w:rPr>
          <w:sz w:val="2"/>
          <w:szCs w:val="2"/>
        </w:rPr>
      </w:pPr>
    </w:p>
    <w:p w:rsidR="00350C15" w:rsidRDefault="005E027A" w:rsidP="0008579D">
      <w:pPr>
        <w:rPr>
          <w:sz w:val="22"/>
          <w:szCs w:val="22"/>
        </w:rPr>
      </w:pPr>
      <w:r>
        <w:rPr>
          <w:b/>
          <w:sz w:val="22"/>
          <w:szCs w:val="22"/>
        </w:rPr>
        <w:t>GERMÁN AUGUSTO GARCÍA MAYA</w:t>
      </w:r>
    </w:p>
    <w:p w:rsidR="00350C15" w:rsidRDefault="005E027A" w:rsidP="0008579D">
      <w:pPr>
        <w:rPr>
          <w:sz w:val="22"/>
          <w:szCs w:val="22"/>
        </w:rPr>
      </w:pPr>
      <w:r>
        <w:rPr>
          <w:sz w:val="22"/>
          <w:szCs w:val="22"/>
        </w:rPr>
        <w:t>Ponente</w:t>
      </w:r>
    </w:p>
    <w:p w:rsidR="00350C15" w:rsidRDefault="005E027A" w:rsidP="0008579D">
      <w:pPr>
        <w:rPr>
          <w:sz w:val="22"/>
          <w:szCs w:val="22"/>
        </w:rPr>
      </w:pPr>
      <w:r>
        <w:rPr>
          <w:sz w:val="22"/>
          <w:szCs w:val="22"/>
        </w:rPr>
        <w:t>Partido Liberal Colombiano</w:t>
      </w:r>
    </w:p>
    <w:p w:rsidR="00350C15" w:rsidRDefault="00350C15" w:rsidP="0008579D">
      <w:pPr>
        <w:rPr>
          <w:sz w:val="22"/>
          <w:szCs w:val="22"/>
        </w:rPr>
      </w:pPr>
    </w:p>
    <w:p w:rsidR="00350C15" w:rsidRDefault="00350C15" w:rsidP="0008579D">
      <w:pPr>
        <w:rPr>
          <w:sz w:val="22"/>
          <w:szCs w:val="22"/>
        </w:rPr>
      </w:pPr>
    </w:p>
    <w:p w:rsidR="00350C15" w:rsidRDefault="00350C15" w:rsidP="0008579D">
      <w:pPr>
        <w:rPr>
          <w:sz w:val="22"/>
          <w:szCs w:val="22"/>
        </w:rPr>
      </w:pPr>
    </w:p>
    <w:p w:rsidR="00350C15" w:rsidRDefault="00350C15" w:rsidP="0008579D">
      <w:pPr>
        <w:rPr>
          <w:sz w:val="22"/>
          <w:szCs w:val="22"/>
        </w:rPr>
      </w:pPr>
    </w:p>
    <w:p w:rsidR="00350C15" w:rsidRDefault="00350C15" w:rsidP="0008579D">
      <w:pPr>
        <w:rPr>
          <w:sz w:val="22"/>
          <w:szCs w:val="22"/>
        </w:rPr>
      </w:pPr>
    </w:p>
    <w:p w:rsidR="00350C15" w:rsidRDefault="00350C15" w:rsidP="0008579D">
      <w:pPr>
        <w:rPr>
          <w:sz w:val="22"/>
          <w:szCs w:val="22"/>
        </w:rPr>
      </w:pPr>
    </w:p>
    <w:p w:rsidR="00350C15" w:rsidRDefault="00350C15" w:rsidP="0008579D">
      <w:pPr>
        <w:rPr>
          <w:sz w:val="22"/>
          <w:szCs w:val="22"/>
        </w:rPr>
      </w:pPr>
    </w:p>
    <w:p w:rsidR="00350C15" w:rsidRDefault="005E027A" w:rsidP="0008579D">
      <w:pPr>
        <w:jc w:val="center"/>
        <w:rPr>
          <w:b/>
          <w:sz w:val="22"/>
          <w:szCs w:val="22"/>
        </w:rPr>
      </w:pPr>
      <w:r>
        <w:rPr>
          <w:b/>
          <w:sz w:val="22"/>
          <w:szCs w:val="22"/>
        </w:rPr>
        <w:t>PONENCIA PROYECTO DE ACUERDO No.  443 DE  2025</w:t>
      </w:r>
    </w:p>
    <w:p w:rsidR="00350C15" w:rsidRDefault="00350C15" w:rsidP="0008579D">
      <w:pPr>
        <w:jc w:val="center"/>
        <w:rPr>
          <w:sz w:val="22"/>
          <w:szCs w:val="22"/>
        </w:rPr>
      </w:pPr>
    </w:p>
    <w:p w:rsidR="00350C15" w:rsidRDefault="005E027A" w:rsidP="0008579D">
      <w:pPr>
        <w:jc w:val="center"/>
        <w:rPr>
          <w:sz w:val="22"/>
          <w:szCs w:val="22"/>
        </w:rPr>
      </w:pPr>
      <w:r>
        <w:rPr>
          <w:i/>
          <w:sz w:val="23"/>
          <w:szCs w:val="23"/>
        </w:rPr>
        <w:t>“Por medio del cual se establecen lineamientos para la racionalización normativa de los Acuerdos del Concejo de Bogotá y se crea el Observatorio de Seguimiento y Evaluación del Cumplimiento Normativo (“Alfonso López Michelsen”) en Bogotá D.C.”</w:t>
      </w:r>
    </w:p>
    <w:p w:rsidR="00350C15" w:rsidRDefault="00350C15" w:rsidP="0008579D">
      <w:pPr>
        <w:rPr>
          <w:sz w:val="22"/>
          <w:szCs w:val="22"/>
        </w:rPr>
      </w:pPr>
    </w:p>
    <w:p w:rsidR="00350C15" w:rsidRDefault="005E027A" w:rsidP="0008579D">
      <w:pPr>
        <w:numPr>
          <w:ilvl w:val="0"/>
          <w:numId w:val="2"/>
        </w:numPr>
        <w:pBdr>
          <w:top w:val="nil"/>
          <w:left w:val="nil"/>
          <w:bottom w:val="nil"/>
          <w:right w:val="nil"/>
          <w:between w:val="nil"/>
        </w:pBdr>
        <w:rPr>
          <w:sz w:val="22"/>
          <w:szCs w:val="22"/>
        </w:rPr>
      </w:pPr>
      <w:r>
        <w:rPr>
          <w:b/>
          <w:sz w:val="22"/>
          <w:szCs w:val="22"/>
          <w:u w:val="single"/>
        </w:rPr>
        <w:t>OBJETO</w:t>
      </w:r>
    </w:p>
    <w:p w:rsidR="00350C15" w:rsidRDefault="00350C15" w:rsidP="0008579D">
      <w:pPr>
        <w:rPr>
          <w:b/>
          <w:sz w:val="22"/>
          <w:szCs w:val="22"/>
        </w:rPr>
      </w:pPr>
    </w:p>
    <w:p w:rsidR="00350C15" w:rsidRDefault="005E027A" w:rsidP="0008579D">
      <w:pPr>
        <w:jc w:val="both"/>
        <w:rPr>
          <w:sz w:val="22"/>
          <w:szCs w:val="22"/>
        </w:rPr>
      </w:pPr>
      <w:r>
        <w:rPr>
          <w:sz w:val="22"/>
          <w:szCs w:val="22"/>
        </w:rPr>
        <w:t>Conforme a lo presentado por los autores, este proyecto de acuerdo tiene por objeto establecer lineamientos para racionalizar las disposiciones contenidas en los Acuerdos del Concejo de Bogotá que contienen obligaciones relacionadas con la presentación de informes periódicos de avance en el cumplimiento de los mismos, y para la implementación de un mecanismo que permita a la Administración Distrital cumplir de manera más adecuada con su función de hacer seguimiento y rendir cuentas sobre el avance en el cumplimiento de los compromisos adquiridos en los Acuerdos Distritales.</w:t>
      </w:r>
    </w:p>
    <w:p w:rsidR="00350C15" w:rsidRDefault="00350C15" w:rsidP="0008579D">
      <w:pPr>
        <w:jc w:val="both"/>
        <w:rPr>
          <w:sz w:val="22"/>
          <w:szCs w:val="22"/>
        </w:rPr>
      </w:pPr>
    </w:p>
    <w:p w:rsidR="00350C15" w:rsidRDefault="005E027A" w:rsidP="0008579D">
      <w:pPr>
        <w:numPr>
          <w:ilvl w:val="0"/>
          <w:numId w:val="2"/>
        </w:numPr>
        <w:pBdr>
          <w:top w:val="nil"/>
          <w:left w:val="nil"/>
          <w:bottom w:val="nil"/>
          <w:right w:val="nil"/>
          <w:between w:val="nil"/>
        </w:pBdr>
        <w:rPr>
          <w:sz w:val="22"/>
          <w:szCs w:val="22"/>
        </w:rPr>
      </w:pPr>
      <w:bookmarkStart w:id="1" w:name="_heading=h.gjdgxs" w:colFirst="0" w:colLast="0"/>
      <w:bookmarkEnd w:id="1"/>
      <w:r>
        <w:rPr>
          <w:b/>
          <w:sz w:val="22"/>
          <w:szCs w:val="22"/>
          <w:u w:val="single"/>
        </w:rPr>
        <w:t>JUSTIFICACIÓN DEL PROYECTO Y ANÁLISIS DE LA INICIATIVA</w:t>
      </w:r>
    </w:p>
    <w:p w:rsidR="00350C15" w:rsidRDefault="00350C15" w:rsidP="0008579D">
      <w:pPr>
        <w:jc w:val="both"/>
        <w:rPr>
          <w:sz w:val="22"/>
          <w:szCs w:val="22"/>
        </w:rPr>
      </w:pPr>
    </w:p>
    <w:p w:rsidR="00350C15" w:rsidRDefault="005E027A" w:rsidP="0008579D">
      <w:pPr>
        <w:pBdr>
          <w:top w:val="nil"/>
          <w:left w:val="nil"/>
          <w:bottom w:val="nil"/>
          <w:right w:val="nil"/>
          <w:between w:val="nil"/>
        </w:pBdr>
        <w:jc w:val="both"/>
        <w:rPr>
          <w:sz w:val="22"/>
          <w:szCs w:val="22"/>
        </w:rPr>
      </w:pPr>
      <w:r>
        <w:rPr>
          <w:sz w:val="22"/>
          <w:szCs w:val="22"/>
        </w:rPr>
        <w:t xml:space="preserve">De acuerdo con la iniciativa presentada por los autores, en una muestra tomada de los acuerdos Distritales adoptados desde 2019, se evidenció que en recurrentes ocasiones se incluyó la obligación a la administración Distrital de presentar informes, siendo en algunos casos una obligación en abstracto, y en otras, una obligación en cabeza de una entidad en específico.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La obligación de presentar informes tiene la función de evidenciar el cumplimiento de estos, pero en la actualidad no se encuentra una evidencia de que este fin se haya logrado. Conforme a la muestra analizada, desde el año 0 (2019) se ha marcado un incremento sustancial en esta obligación como forma de mantener los vínculos del control político y la rendición de cuentas a la ciudadanía. No obstante, pese a la existencia de la obligación en una norma (hecho que es vinculante por esencia), en la mayoría de las ocasiones, estos informes no se presentan o se elaboran, pero no hay un canal de sistematización ni de disposición a la ciudadanía o al conjunto de concejales de Bogotá. </w:t>
      </w:r>
    </w:p>
    <w:p w:rsidR="00350C15" w:rsidRDefault="00350C15" w:rsidP="0008579D">
      <w:pPr>
        <w:jc w:val="both"/>
        <w:rPr>
          <w:sz w:val="22"/>
          <w:szCs w:val="22"/>
        </w:rPr>
      </w:pPr>
    </w:p>
    <w:p w:rsidR="00350C15" w:rsidRDefault="005E027A" w:rsidP="0008579D">
      <w:pPr>
        <w:jc w:val="both"/>
        <w:rPr>
          <w:sz w:val="22"/>
          <w:szCs w:val="22"/>
        </w:rPr>
      </w:pPr>
      <w:r>
        <w:rPr>
          <w:sz w:val="22"/>
          <w:szCs w:val="22"/>
        </w:rPr>
        <w:t>De acuerdo con los autores, esta situación mencionada, demuestra la desconexión entre e mandato contenido en las normas y su aplicación práctica, lo que de fondo, afecta la capacidad de control, evaluación y seguimiento que le corresponde al cabildo Distrital.</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Los proyectos de acuerdo, como parte de las funciones propias de los concejales en Colombia, tienen la finalidad de expresar a través de las normas el sentir o las necesidades </w:t>
      </w:r>
      <w:r>
        <w:rPr>
          <w:sz w:val="22"/>
          <w:szCs w:val="22"/>
        </w:rPr>
        <w:lastRenderedPageBreak/>
        <w:t xml:space="preserve">de la comunidad a la que representan, o las necesidades propias de organismos como los de control o las juntas administradoras locales que, en virtud de la ley, también tienen iniciativa normativa frente al Cabildo Distrital.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En esencia, la actividad normativa es la expresión de la representación política, pues en calidad de voceros de la ciudadanía o de las organizaciones civiles, los concejales construyen iniciativas que exaltan situaciones, personajes o promueven el bienestar general y el desarrollo de la ciudad. Las disposiciones contenidas en los acuerdos distritales materializan las demandas sociales y los principios democráticos, razón por la cual se hace necesario mantener los canales de control y seguimiento, pero logrando que estos sean efectivos y eficientes a través del tiempo.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Los análisis desplegados en la iniciativa que se pretende discutir en 2025 incluyen una revisión de las normas expedidas entre 2019  y 2024 por el Concejo de Bogotá y que han sido efectivamente sancionados, las cuales contienen la obligación de presentación de informes. De ello, se pudo establecer que del total de las normas expedidas, en 2019, el 34% contenían esta obligación, en 2020 el 66%, en 2021 el 72%, en 2022 el 77%, en 2023 el 52% (con la aclaración de que este año particularmente se expidió el doble de las normas que se aprobaban en promedio en los años anteriores), y en 2024 el 78% contiene la obligación.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Este importante incremento en la obligación de presentación de informes lleva a que, de acuerdo con el número de normas que componen la muestra, la Administración Distrital debió presentar para el período un total de 352 informes que fueron presentados por sector administrativo en el proyecto de acuerdo.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Una hipótesis que surge del análisis es que al parecer, cuando los acuerdos tratan sobre grupos poblacionales vulnerables, el concejo ha sido más insistente en la presentación de informes, seguramente con el fin de salvaguardar los derechos de las poblaciones menos favorecidas o situaciones que ponen en riesgo a la comunidad. No obstante, a pesar de que los autores reconocen que no hay un argumento que lleve con firmeza a tal hipótesis, sí presentan un cuadro con el que se establecen categorías que permitirían en algún caso llegar a tal inferencia.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Las categorías encontradas son: Niños, niñas y adolescentes; Mujer y género; Medio Ambiente, Salud, seguridad y elementos de la política fiscal en el Distrito, entre otros. En este sentido, señalan que una de las funciones de la Dirección de Relaciones Políticas de la Secretaría Distrital de Gobierno es “Dirigir las acciones distritales para organizar la presentación, discusión y seguimiento de los proyectos de acuerdo ante el Concejo de Bogotá”, así como “gestionar y realizar seguimiento a las diferentes iniciativas normativas que la Administración Distrital elabore para que sean tramitadas en el Concejo de Bogotá, a través de una coordinación intersectorial eficaz” y “realizar el seguimiento a los proyectos de Acuerdo radicados en el Concejo de Bogotá, con el propósito de identificar los sectores </w:t>
      </w:r>
      <w:r>
        <w:rPr>
          <w:sz w:val="22"/>
          <w:szCs w:val="22"/>
        </w:rPr>
        <w:lastRenderedPageBreak/>
        <w:t xml:space="preserve">distritales competentes de analizar y emitir comentarios en su ámbito técnico, jurídico y presupuestal, determinando la viabilidad o no de la iniciativa”, de acuerdo con la información disponible en el sitio web de esta cartera.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Así las cosas, se tiene que hay una oficina que por demás tiene el carácter de dirección, que tienen entre sus responsabilidades precisamente la de hacer seguimiento y construir informes estadísticos sobre las normas adoptadas en el concejo Distrital. </w:t>
      </w:r>
    </w:p>
    <w:p w:rsidR="00350C15" w:rsidRDefault="00350C15" w:rsidP="0008579D">
      <w:pPr>
        <w:jc w:val="both"/>
        <w:rPr>
          <w:sz w:val="22"/>
          <w:szCs w:val="22"/>
        </w:rPr>
      </w:pPr>
    </w:p>
    <w:p w:rsidR="00350C15" w:rsidRDefault="005E027A" w:rsidP="0008579D">
      <w:pPr>
        <w:jc w:val="both"/>
        <w:rPr>
          <w:sz w:val="22"/>
          <w:szCs w:val="22"/>
        </w:rPr>
      </w:pPr>
      <w:r>
        <w:rPr>
          <w:sz w:val="22"/>
          <w:szCs w:val="22"/>
        </w:rPr>
        <w:t>Señalan los autores que “</w:t>
      </w:r>
      <w:r>
        <w:rPr>
          <w:i/>
          <w:sz w:val="22"/>
          <w:szCs w:val="22"/>
        </w:rPr>
        <w:t>Hoy en día existen un sin número de herramientas tecnológicas que pueden contribuir con este propósito. Entre ellos los observatorios. Un observatorio consiste en la organización sistemática y ordenada de actividades relacionadas con la recopilación, análisis e interpretación de toda la información veraz, actualizada y disponible sobre un conjunto de fenómenos de interés particular cuya distribución y comportamiento debe ser analizado con el fin de tomar decisiones u orientar acciones</w:t>
      </w:r>
      <w:r>
        <w:rPr>
          <w:sz w:val="22"/>
          <w:szCs w:val="22"/>
        </w:rPr>
        <w:t xml:space="preserve">.”, por lo que esta sería una herramienta que además ha sido validada por la academia y que permite no sólo la recopilación de datos, sino también su análisis y disposición a la ciudadanía. </w:t>
      </w:r>
    </w:p>
    <w:p w:rsidR="00350C15" w:rsidRDefault="00350C15" w:rsidP="0008579D">
      <w:pPr>
        <w:jc w:val="both"/>
        <w:rPr>
          <w:sz w:val="22"/>
          <w:szCs w:val="22"/>
        </w:rPr>
      </w:pPr>
    </w:p>
    <w:p w:rsidR="00350C15" w:rsidRDefault="005E027A" w:rsidP="0008579D">
      <w:pPr>
        <w:jc w:val="both"/>
        <w:rPr>
          <w:sz w:val="22"/>
          <w:szCs w:val="22"/>
        </w:rPr>
      </w:pPr>
      <w:r>
        <w:rPr>
          <w:sz w:val="22"/>
          <w:szCs w:val="22"/>
        </w:rPr>
        <w:t>Adicionalmente, presentan como experiencias exitosas los observatorios existentes en otras ciudades del mundo como en Madrid o Barcelona donde funcionan observatorios legislativos municipales que hacen seguimiento y publicación de informes sobre el cumplimiento de normas y acuerdos a modo de datos abiertos. También se encuentra el Sistema de Monitoreo y Evaluación del Congreso Nacional de Chile que permite el seguimiento a las leyes aprobadas a través de informes sobre su implementación. Otro ejemplo son los Observatorios Ciudadanos Municipales en México, donde hay colaboración entre la ciudadanía y los Estados Feredados para verificar la implementación de acuerdos y políticas públicas.</w:t>
      </w:r>
    </w:p>
    <w:p w:rsidR="00350C15" w:rsidRDefault="00350C15" w:rsidP="0008579D">
      <w:pPr>
        <w:rPr>
          <w:sz w:val="22"/>
          <w:szCs w:val="22"/>
        </w:rPr>
      </w:pPr>
    </w:p>
    <w:p w:rsidR="00350C15" w:rsidRDefault="005E027A" w:rsidP="0008579D">
      <w:pPr>
        <w:numPr>
          <w:ilvl w:val="0"/>
          <w:numId w:val="2"/>
        </w:numPr>
        <w:rPr>
          <w:sz w:val="22"/>
          <w:szCs w:val="22"/>
        </w:rPr>
      </w:pPr>
      <w:r>
        <w:rPr>
          <w:b/>
          <w:sz w:val="22"/>
          <w:szCs w:val="22"/>
          <w:u w:val="single"/>
        </w:rPr>
        <w:t>MARCO JURÍDICO DE LA INICIATIVA</w:t>
      </w:r>
    </w:p>
    <w:p w:rsidR="00350C15" w:rsidRDefault="00350C15" w:rsidP="0008579D">
      <w:pPr>
        <w:jc w:val="both"/>
        <w:rPr>
          <w:sz w:val="22"/>
          <w:szCs w:val="22"/>
        </w:rPr>
      </w:pPr>
    </w:p>
    <w:p w:rsidR="00350C15" w:rsidRDefault="005E027A" w:rsidP="0008579D">
      <w:pPr>
        <w:ind w:left="720"/>
        <w:jc w:val="both"/>
        <w:rPr>
          <w:b/>
          <w:sz w:val="22"/>
          <w:szCs w:val="22"/>
        </w:rPr>
      </w:pPr>
      <w:r>
        <w:rPr>
          <w:b/>
          <w:sz w:val="22"/>
          <w:szCs w:val="22"/>
          <w:u w:val="single"/>
        </w:rPr>
        <w:t xml:space="preserve"> DE ORDEN CONSTITUCIONAL</w:t>
      </w:r>
    </w:p>
    <w:p w:rsidR="00350C15" w:rsidRDefault="00350C15" w:rsidP="0008579D">
      <w:pPr>
        <w:jc w:val="both"/>
        <w:rPr>
          <w:b/>
          <w:sz w:val="22"/>
          <w:szCs w:val="22"/>
          <w:u w:val="single"/>
        </w:rPr>
      </w:pPr>
    </w:p>
    <w:p w:rsidR="00350C15" w:rsidRDefault="005E027A" w:rsidP="0008579D">
      <w:pPr>
        <w:jc w:val="both"/>
        <w:rPr>
          <w:b/>
          <w:sz w:val="22"/>
          <w:szCs w:val="22"/>
          <w:u w:val="single"/>
        </w:rPr>
      </w:pPr>
      <w:r>
        <w:rPr>
          <w:b/>
          <w:sz w:val="22"/>
          <w:szCs w:val="22"/>
        </w:rPr>
        <w:t>ARTÍCULO 209</w:t>
      </w:r>
      <w:r>
        <w:rPr>
          <w:sz w:val="22"/>
          <w:szCs w:val="22"/>
        </w:rPr>
        <w:t>.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rsidR="00350C15" w:rsidRDefault="00350C15" w:rsidP="0008579D">
      <w:pPr>
        <w:ind w:left="360"/>
        <w:jc w:val="both"/>
        <w:rPr>
          <w:b/>
          <w:sz w:val="22"/>
          <w:szCs w:val="22"/>
          <w:u w:val="single"/>
        </w:rPr>
      </w:pPr>
    </w:p>
    <w:p w:rsidR="00350C15" w:rsidRDefault="005E027A" w:rsidP="0008579D">
      <w:pPr>
        <w:ind w:left="360"/>
        <w:jc w:val="both"/>
        <w:rPr>
          <w:b/>
          <w:sz w:val="22"/>
          <w:szCs w:val="22"/>
        </w:rPr>
      </w:pPr>
      <w:r>
        <w:rPr>
          <w:b/>
          <w:sz w:val="22"/>
          <w:szCs w:val="22"/>
          <w:u w:val="single"/>
        </w:rPr>
        <w:t>DE ORDEN LEGISLATIVO</w:t>
      </w:r>
    </w:p>
    <w:p w:rsidR="00350C15" w:rsidRDefault="00350C15" w:rsidP="0008579D">
      <w:pPr>
        <w:jc w:val="both"/>
        <w:rPr>
          <w:sz w:val="22"/>
          <w:szCs w:val="22"/>
        </w:rPr>
      </w:pPr>
    </w:p>
    <w:p w:rsidR="00350C15" w:rsidRDefault="005E027A" w:rsidP="0008579D">
      <w:pPr>
        <w:numPr>
          <w:ilvl w:val="0"/>
          <w:numId w:val="4"/>
        </w:numPr>
        <w:jc w:val="both"/>
        <w:rPr>
          <w:sz w:val="22"/>
          <w:szCs w:val="22"/>
        </w:rPr>
      </w:pPr>
      <w:r>
        <w:rPr>
          <w:b/>
          <w:sz w:val="22"/>
          <w:szCs w:val="22"/>
        </w:rPr>
        <w:t xml:space="preserve">Ley 489 de 1998. En </w:t>
      </w:r>
      <w:r>
        <w:rPr>
          <w:sz w:val="22"/>
          <w:szCs w:val="22"/>
        </w:rPr>
        <w:t>su artículo 32 regula el funcionamiento de la Administración Pública y establece mecanismos de evaluación y control. </w:t>
      </w:r>
    </w:p>
    <w:p w:rsidR="00350C15" w:rsidRDefault="005E027A" w:rsidP="0008579D">
      <w:pPr>
        <w:numPr>
          <w:ilvl w:val="0"/>
          <w:numId w:val="4"/>
        </w:numPr>
        <w:jc w:val="both"/>
        <w:rPr>
          <w:sz w:val="22"/>
          <w:szCs w:val="22"/>
        </w:rPr>
      </w:pPr>
      <w:r>
        <w:rPr>
          <w:b/>
          <w:sz w:val="22"/>
          <w:szCs w:val="22"/>
        </w:rPr>
        <w:lastRenderedPageBreak/>
        <w:t xml:space="preserve">Ley 1474 de 2011. </w:t>
      </w:r>
      <w:r>
        <w:rPr>
          <w:sz w:val="22"/>
          <w:szCs w:val="22"/>
        </w:rPr>
        <w:t>Establece medidas para garantizar la transparencia en la gestión pública.</w:t>
      </w:r>
    </w:p>
    <w:p w:rsidR="00350C15" w:rsidRDefault="005E027A" w:rsidP="0008579D">
      <w:pPr>
        <w:numPr>
          <w:ilvl w:val="0"/>
          <w:numId w:val="4"/>
        </w:numPr>
        <w:jc w:val="both"/>
        <w:rPr>
          <w:sz w:val="22"/>
          <w:szCs w:val="22"/>
        </w:rPr>
      </w:pPr>
      <w:r>
        <w:rPr>
          <w:b/>
          <w:sz w:val="22"/>
          <w:szCs w:val="22"/>
        </w:rPr>
        <w:t xml:space="preserve">Ley 1712 de 2014. </w:t>
      </w:r>
      <w:r>
        <w:rPr>
          <w:sz w:val="22"/>
          <w:szCs w:val="22"/>
        </w:rPr>
        <w:t>En su artículo 3 establece que los sujetos obligados deben facilitar el acceso a la información pública. </w:t>
      </w:r>
    </w:p>
    <w:p w:rsidR="00350C15" w:rsidRDefault="005E027A" w:rsidP="0008579D">
      <w:pPr>
        <w:numPr>
          <w:ilvl w:val="0"/>
          <w:numId w:val="4"/>
        </w:numPr>
        <w:jc w:val="both"/>
        <w:rPr>
          <w:sz w:val="22"/>
          <w:szCs w:val="22"/>
        </w:rPr>
      </w:pPr>
      <w:r>
        <w:rPr>
          <w:b/>
          <w:sz w:val="22"/>
          <w:szCs w:val="22"/>
        </w:rPr>
        <w:t xml:space="preserve">Ley 1757 de 2015. </w:t>
      </w:r>
      <w:r>
        <w:rPr>
          <w:sz w:val="22"/>
          <w:szCs w:val="22"/>
        </w:rPr>
        <w:t>En sus artículos 2 y 3 sobre participación ciudadana, incluye herramientas de rendición de cuentas y seguimiento a la gestión pública. </w:t>
      </w:r>
    </w:p>
    <w:p w:rsidR="00350C15" w:rsidRDefault="00350C15" w:rsidP="0008579D">
      <w:pPr>
        <w:jc w:val="both"/>
        <w:rPr>
          <w:sz w:val="22"/>
          <w:szCs w:val="22"/>
        </w:rPr>
      </w:pPr>
    </w:p>
    <w:p w:rsidR="00350C15" w:rsidRDefault="005E027A" w:rsidP="0008579D">
      <w:pPr>
        <w:jc w:val="both"/>
        <w:rPr>
          <w:sz w:val="22"/>
          <w:szCs w:val="22"/>
          <w:u w:val="single"/>
        </w:rPr>
      </w:pPr>
      <w:r>
        <w:rPr>
          <w:b/>
          <w:sz w:val="23"/>
          <w:szCs w:val="23"/>
          <w:u w:val="single"/>
        </w:rPr>
        <w:t>ORDEN DISTRITAL</w:t>
      </w:r>
    </w:p>
    <w:p w:rsidR="00350C15" w:rsidRDefault="00350C15" w:rsidP="0008579D">
      <w:pPr>
        <w:jc w:val="both"/>
        <w:rPr>
          <w:b/>
          <w:sz w:val="22"/>
          <w:szCs w:val="22"/>
        </w:rPr>
      </w:pPr>
    </w:p>
    <w:p w:rsidR="00350C15" w:rsidRDefault="005E027A" w:rsidP="0008579D">
      <w:pPr>
        <w:numPr>
          <w:ilvl w:val="0"/>
          <w:numId w:val="5"/>
        </w:numPr>
        <w:jc w:val="both"/>
        <w:rPr>
          <w:sz w:val="22"/>
          <w:szCs w:val="22"/>
        </w:rPr>
      </w:pPr>
      <w:r>
        <w:rPr>
          <w:b/>
          <w:sz w:val="22"/>
          <w:szCs w:val="22"/>
        </w:rPr>
        <w:t xml:space="preserve">Ley 1421 de 1993. </w:t>
      </w:r>
      <w:r>
        <w:rPr>
          <w:sz w:val="22"/>
          <w:szCs w:val="22"/>
        </w:rPr>
        <w:t>Artículo 12. Atribuciones. Corresponde al Concejo Distrital, de conformidad con la Constitución y la ley: 1. Dictar las normas necesarias para garantizar el adecuado cumplimiento de las funciones y la eficiente prestación de los servicios a cargo del Distrito.</w:t>
      </w:r>
    </w:p>
    <w:p w:rsidR="00350C15" w:rsidRDefault="005E027A" w:rsidP="0008579D">
      <w:pPr>
        <w:numPr>
          <w:ilvl w:val="0"/>
          <w:numId w:val="5"/>
        </w:numPr>
        <w:jc w:val="both"/>
        <w:rPr>
          <w:sz w:val="22"/>
          <w:szCs w:val="22"/>
        </w:rPr>
      </w:pPr>
      <w:r>
        <w:rPr>
          <w:b/>
          <w:sz w:val="22"/>
          <w:szCs w:val="22"/>
        </w:rPr>
        <w:t>Decreto 411 de 2016</w:t>
      </w:r>
      <w:r>
        <w:rPr>
          <w:sz w:val="22"/>
          <w:szCs w:val="22"/>
        </w:rPr>
        <w:t>. Artículo 10. Funciones de la Dirección de Relaciones Políticas. “Dirigir las acciones distritales para organizar la presentación, discusión y seguimiento de los proyectos de acuerdo ante el Concejo de Bogotá”.</w:t>
      </w:r>
    </w:p>
    <w:p w:rsidR="00350C15" w:rsidRDefault="005E027A" w:rsidP="0008579D">
      <w:pPr>
        <w:numPr>
          <w:ilvl w:val="0"/>
          <w:numId w:val="5"/>
        </w:numPr>
        <w:jc w:val="both"/>
        <w:rPr>
          <w:sz w:val="22"/>
          <w:szCs w:val="22"/>
        </w:rPr>
      </w:pPr>
      <w:r>
        <w:rPr>
          <w:b/>
          <w:sz w:val="22"/>
          <w:szCs w:val="22"/>
        </w:rPr>
        <w:t>Decreto 323 de 2016</w:t>
      </w:r>
      <w:r>
        <w:rPr>
          <w:sz w:val="22"/>
          <w:szCs w:val="22"/>
        </w:rPr>
        <w:t xml:space="preserve">. Artículo 3, numerales (9) Diseñar e implementar las políticas de divulgación del ordenamiento normativo y de acceso a la información jurídica. </w:t>
      </w:r>
      <w:r>
        <w:rPr>
          <w:color w:val="333333"/>
          <w:sz w:val="22"/>
          <w:szCs w:val="22"/>
        </w:rPr>
        <w:t>(</w:t>
      </w:r>
      <w:r>
        <w:rPr>
          <w:sz w:val="22"/>
          <w:szCs w:val="22"/>
        </w:rPr>
        <w:t>10) Procurar el desarrollo, mantenimiento e implementación de los sistemas de información jurídica.</w:t>
      </w:r>
    </w:p>
    <w:p w:rsidR="00350C15" w:rsidRDefault="00350C15" w:rsidP="0008579D">
      <w:pPr>
        <w:numPr>
          <w:ilvl w:val="0"/>
          <w:numId w:val="5"/>
        </w:numPr>
        <w:jc w:val="both"/>
        <w:rPr>
          <w:sz w:val="22"/>
          <w:szCs w:val="22"/>
        </w:rPr>
      </w:pPr>
    </w:p>
    <w:p w:rsidR="00350C15" w:rsidRDefault="00350C15" w:rsidP="0008579D">
      <w:pPr>
        <w:jc w:val="both"/>
        <w:rPr>
          <w:sz w:val="22"/>
          <w:szCs w:val="22"/>
        </w:rPr>
      </w:pPr>
    </w:p>
    <w:p w:rsidR="00350C15" w:rsidRDefault="005E027A" w:rsidP="0008579D">
      <w:pPr>
        <w:jc w:val="both"/>
        <w:rPr>
          <w:b/>
          <w:sz w:val="22"/>
          <w:szCs w:val="22"/>
          <w:u w:val="single"/>
        </w:rPr>
      </w:pPr>
      <w:r>
        <w:rPr>
          <w:b/>
          <w:sz w:val="22"/>
          <w:szCs w:val="22"/>
          <w:u w:val="single"/>
        </w:rPr>
        <w:t>JURISPRUDENCIA</w:t>
      </w:r>
    </w:p>
    <w:p w:rsidR="00350C15" w:rsidRDefault="00350C15" w:rsidP="0008579D">
      <w:pPr>
        <w:jc w:val="both"/>
        <w:rPr>
          <w:b/>
          <w:sz w:val="22"/>
          <w:szCs w:val="22"/>
          <w:u w:val="single"/>
        </w:rPr>
      </w:pPr>
    </w:p>
    <w:p w:rsidR="00350C15" w:rsidRDefault="005E027A" w:rsidP="0008579D">
      <w:pPr>
        <w:numPr>
          <w:ilvl w:val="0"/>
          <w:numId w:val="6"/>
        </w:numPr>
        <w:jc w:val="both"/>
        <w:rPr>
          <w:sz w:val="22"/>
          <w:szCs w:val="22"/>
        </w:rPr>
      </w:pPr>
      <w:r>
        <w:rPr>
          <w:sz w:val="22"/>
          <w:szCs w:val="22"/>
        </w:rPr>
        <w:t>Sentencia C-816 de 2013. Establece que el principio de eficiencia debe buscar dar la máxima racionalidad a la relación costo-beneficio, de manera que la Administración Pública tiene el deber de maximizar el rendimiento o los resultados.</w:t>
      </w:r>
    </w:p>
    <w:p w:rsidR="00350C15" w:rsidRDefault="00350C15" w:rsidP="0008579D">
      <w:pPr>
        <w:jc w:val="both"/>
        <w:rPr>
          <w:b/>
          <w:sz w:val="22"/>
          <w:szCs w:val="22"/>
          <w:u w:val="single"/>
        </w:rPr>
      </w:pPr>
    </w:p>
    <w:p w:rsidR="00350C15" w:rsidRDefault="00350C15" w:rsidP="0008579D">
      <w:pPr>
        <w:jc w:val="both"/>
        <w:rPr>
          <w:sz w:val="22"/>
          <w:szCs w:val="22"/>
        </w:rPr>
      </w:pPr>
    </w:p>
    <w:p w:rsidR="00350C15" w:rsidRDefault="005E027A" w:rsidP="0008579D">
      <w:pPr>
        <w:numPr>
          <w:ilvl w:val="0"/>
          <w:numId w:val="2"/>
        </w:numPr>
        <w:jc w:val="both"/>
        <w:rPr>
          <w:sz w:val="22"/>
          <w:szCs w:val="22"/>
        </w:rPr>
      </w:pPr>
      <w:r>
        <w:rPr>
          <w:b/>
          <w:sz w:val="22"/>
          <w:szCs w:val="22"/>
          <w:u w:val="single"/>
        </w:rPr>
        <w:t>COMPETENCIA DEL CONCEJO DE BOGOTÁ</w:t>
      </w:r>
    </w:p>
    <w:p w:rsidR="00350C15" w:rsidRDefault="00350C15" w:rsidP="0008579D">
      <w:pPr>
        <w:jc w:val="both"/>
        <w:rPr>
          <w:b/>
          <w:sz w:val="22"/>
          <w:szCs w:val="22"/>
          <w:u w:val="single"/>
        </w:rPr>
      </w:pPr>
    </w:p>
    <w:p w:rsidR="00350C15" w:rsidRDefault="005E027A" w:rsidP="0008579D">
      <w:pPr>
        <w:jc w:val="both"/>
        <w:rPr>
          <w:b/>
          <w:sz w:val="22"/>
          <w:szCs w:val="22"/>
          <w:u w:val="single"/>
        </w:rPr>
      </w:pPr>
      <w:r>
        <w:rPr>
          <w:b/>
          <w:sz w:val="22"/>
          <w:szCs w:val="22"/>
          <w:u w:val="single"/>
        </w:rPr>
        <w:t>DECRETO LEY 1421 de 1993 “Estatuto Orgánico de Bogotá”</w:t>
      </w:r>
    </w:p>
    <w:p w:rsidR="00350C15" w:rsidRDefault="00350C15" w:rsidP="0008579D">
      <w:pPr>
        <w:jc w:val="both"/>
        <w:rPr>
          <w:b/>
          <w:sz w:val="22"/>
          <w:szCs w:val="22"/>
        </w:rPr>
      </w:pPr>
    </w:p>
    <w:p w:rsidR="00350C15" w:rsidRDefault="005E027A" w:rsidP="0008579D">
      <w:pPr>
        <w:jc w:val="both"/>
        <w:rPr>
          <w:sz w:val="22"/>
          <w:szCs w:val="22"/>
        </w:rPr>
      </w:pPr>
      <w:r>
        <w:rPr>
          <w:b/>
          <w:sz w:val="22"/>
          <w:szCs w:val="22"/>
        </w:rPr>
        <w:t xml:space="preserve">Artículo 12. </w:t>
      </w:r>
      <w:r>
        <w:rPr>
          <w:sz w:val="22"/>
          <w:szCs w:val="22"/>
        </w:rPr>
        <w:t>Atribuciones. Corresponde al Concejo Distrital, de conformidad con la Constitución y la ley: (...)</w:t>
      </w:r>
    </w:p>
    <w:p w:rsidR="00350C15" w:rsidRDefault="00350C15" w:rsidP="0008579D">
      <w:pPr>
        <w:jc w:val="both"/>
        <w:rPr>
          <w:sz w:val="22"/>
          <w:szCs w:val="22"/>
        </w:rPr>
      </w:pPr>
    </w:p>
    <w:p w:rsidR="00350C15" w:rsidRDefault="005E027A" w:rsidP="0008579D">
      <w:pPr>
        <w:numPr>
          <w:ilvl w:val="0"/>
          <w:numId w:val="3"/>
        </w:numPr>
        <w:jc w:val="both"/>
        <w:rPr>
          <w:sz w:val="22"/>
          <w:szCs w:val="22"/>
        </w:rPr>
      </w:pPr>
      <w:r>
        <w:rPr>
          <w:sz w:val="22"/>
          <w:szCs w:val="22"/>
        </w:rPr>
        <w:t>Dictar las normas necesarias para garantizar el adecuado cumplimiento de las funciones y la eficiente prestación de los servicios a cargo del Distrito.</w:t>
      </w:r>
    </w:p>
    <w:p w:rsidR="00350C15" w:rsidRDefault="00350C15" w:rsidP="0008579D">
      <w:pPr>
        <w:ind w:left="720"/>
        <w:jc w:val="both"/>
        <w:rPr>
          <w:sz w:val="22"/>
          <w:szCs w:val="22"/>
        </w:rPr>
      </w:pPr>
    </w:p>
    <w:p w:rsidR="00350C15" w:rsidRDefault="005E027A" w:rsidP="0008579D">
      <w:pPr>
        <w:numPr>
          <w:ilvl w:val="0"/>
          <w:numId w:val="2"/>
        </w:numPr>
        <w:pBdr>
          <w:top w:val="nil"/>
          <w:left w:val="nil"/>
          <w:bottom w:val="nil"/>
          <w:right w:val="nil"/>
          <w:between w:val="nil"/>
        </w:pBdr>
        <w:jc w:val="both"/>
        <w:rPr>
          <w:b/>
          <w:sz w:val="22"/>
          <w:szCs w:val="22"/>
          <w:u w:val="single"/>
        </w:rPr>
      </w:pPr>
      <w:r>
        <w:rPr>
          <w:b/>
          <w:sz w:val="22"/>
          <w:szCs w:val="22"/>
          <w:u w:val="single"/>
        </w:rPr>
        <w:t>IMPACTO FISCAL</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De conformidad con el artículo 7 de la Ley 819 de 2003, la presente iniciativa no genera un impacto fiscal que implique una modificación en el Marco Fiscal de Mediano Plazo, toda vez </w:t>
      </w:r>
      <w:r>
        <w:rPr>
          <w:sz w:val="22"/>
          <w:szCs w:val="22"/>
        </w:rPr>
        <w:lastRenderedPageBreak/>
        <w:t>que no se incrementará el presupuesto del Distrito, ni ocasionará la creación de una nueva fuente de financiación. Las medidas a adoptar deberán ser financiadas con el presupuesto de las entidades pertinentes.</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Además, pese a que el artículo 7 de la Ley 819 de 2003, establece que el “(...)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 la Corte Constitucional, en Sentencia C-911 de 2007, puntualizó que el impacto fiscal de las normas, no puede convertirse en obstáculo para que las corporaciones públicas ejerzan su función legislativa y normativa, afirmando: </w:t>
      </w:r>
    </w:p>
    <w:p w:rsidR="00350C15" w:rsidRDefault="00350C15" w:rsidP="0008579D">
      <w:pPr>
        <w:jc w:val="both"/>
        <w:rPr>
          <w:sz w:val="22"/>
          <w:szCs w:val="22"/>
        </w:rPr>
      </w:pPr>
    </w:p>
    <w:p w:rsidR="00350C15" w:rsidRDefault="005E027A" w:rsidP="0008579D">
      <w:pPr>
        <w:jc w:val="both"/>
        <w:rPr>
          <w:sz w:val="22"/>
          <w:szCs w:val="22"/>
        </w:rPr>
      </w:pPr>
      <w:r>
        <w:rPr>
          <w:sz w:val="22"/>
          <w:szCs w:val="22"/>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lesionó seriamente la autonomía del Legislativo”.</w:t>
      </w:r>
    </w:p>
    <w:p w:rsidR="00350C15" w:rsidRDefault="00350C15" w:rsidP="0008579D">
      <w:pPr>
        <w:jc w:val="both"/>
        <w:rPr>
          <w:sz w:val="22"/>
          <w:szCs w:val="22"/>
        </w:rPr>
      </w:pPr>
    </w:p>
    <w:p w:rsidR="00350C15" w:rsidRDefault="005E027A" w:rsidP="0008579D">
      <w:pPr>
        <w:jc w:val="both"/>
        <w:rPr>
          <w:sz w:val="22"/>
          <w:szCs w:val="22"/>
        </w:rPr>
      </w:pPr>
      <w:r>
        <w:rPr>
          <w:sz w:val="22"/>
          <w:szCs w:val="22"/>
        </w:rPr>
        <w:t>“(...) 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 (subrayado fuera de texto).</w:t>
      </w:r>
    </w:p>
    <w:p w:rsidR="00350C15" w:rsidRDefault="00350C15" w:rsidP="0008579D">
      <w:pPr>
        <w:jc w:val="both"/>
        <w:rPr>
          <w:sz w:val="22"/>
          <w:szCs w:val="22"/>
        </w:rPr>
      </w:pPr>
    </w:p>
    <w:p w:rsidR="00350C15" w:rsidRDefault="005E027A" w:rsidP="0008579D">
      <w:pPr>
        <w:numPr>
          <w:ilvl w:val="0"/>
          <w:numId w:val="2"/>
        </w:numPr>
        <w:jc w:val="both"/>
        <w:rPr>
          <w:sz w:val="22"/>
          <w:szCs w:val="22"/>
          <w:u w:val="single"/>
        </w:rPr>
      </w:pPr>
      <w:r>
        <w:rPr>
          <w:b/>
          <w:sz w:val="22"/>
          <w:szCs w:val="22"/>
          <w:u w:val="single"/>
        </w:rPr>
        <w:t>CONSIDERACIONES DEL PONENTE</w:t>
      </w:r>
    </w:p>
    <w:p w:rsidR="00350C15" w:rsidRDefault="00350C15" w:rsidP="0008579D">
      <w:pPr>
        <w:jc w:val="both"/>
        <w:rPr>
          <w:b/>
          <w:sz w:val="22"/>
          <w:szCs w:val="22"/>
          <w:u w:val="single"/>
        </w:rPr>
      </w:pPr>
    </w:p>
    <w:p w:rsidR="00350C15" w:rsidRDefault="005E027A" w:rsidP="0008579D">
      <w:pPr>
        <w:jc w:val="both"/>
        <w:rPr>
          <w:sz w:val="22"/>
          <w:szCs w:val="22"/>
        </w:rPr>
      </w:pPr>
      <w:r>
        <w:rPr>
          <w:sz w:val="22"/>
          <w:szCs w:val="22"/>
        </w:rPr>
        <w:t xml:space="preserve">El proyecto de acuerdo presentado reúne varios elementos que deben ser analizados para comprender que si bien, la obligación de presentar informes contenida en los acuerdos aprobados por el concejo de Bogotá busca garantizar que en efecto se cumpla lo decidido, también se han convertido en un mecanismo de difícil ejecución y de poca o nula consulta no sólo por parte de los concejales, sino que en definitiva no llega a la ciudadanía.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Un Observatorio es por demás el mecanismo idóneo para que se garanticen los principios de transparencia y para que además se logre evidenciar la eficiencia y la eficacia de las normas producidas por el Cabildo Distrital.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Sobre ello, valga decir que año a año, conforme a las dinámicas propias de cada período constitucional, se ha venido incrementando el número de acuerdos aprobados por el </w:t>
      </w:r>
      <w:r>
        <w:rPr>
          <w:sz w:val="22"/>
          <w:szCs w:val="22"/>
        </w:rPr>
        <w:lastRenderedPageBreak/>
        <w:t>Concejo, y dentro de ellos un buen número contiene la obligación de presentación de informes. No obstante, la primera situación que hay que poner de presente es que los acuerdos tienen vigencia de plazo largo (indefinido en el tiempo), hasta que otra norma lo derogue o lo sustituya, mientras que el autor pasa uno o varios períodos constitucionales, pero con el pasar del tiempo, no es claro a qué persona en concreto corresponde la autoría de una u otra iniciativa. Pero ¿por qué traer esta reflexión? Ciertamente, quien tiene la iniciativa normativa considera que un informe puede ser muy funcional para garantizar el cumplimiento, pero de fondo lo que se genera es una obligación permanente que usualmente no es revisada pese a que se haya cumplido o no el objeto del acuerdo aprobado, en ocasiones ni por sus propios autores.</w:t>
      </w:r>
    </w:p>
    <w:p w:rsidR="00350C15" w:rsidRDefault="00350C15" w:rsidP="0008579D">
      <w:pPr>
        <w:jc w:val="both"/>
        <w:rPr>
          <w:sz w:val="22"/>
          <w:szCs w:val="22"/>
        </w:rPr>
      </w:pPr>
    </w:p>
    <w:p w:rsidR="00350C15" w:rsidRDefault="005E027A" w:rsidP="0008579D">
      <w:pPr>
        <w:jc w:val="both"/>
        <w:rPr>
          <w:sz w:val="22"/>
          <w:szCs w:val="22"/>
        </w:rPr>
      </w:pPr>
      <w:r>
        <w:rPr>
          <w:sz w:val="22"/>
          <w:szCs w:val="22"/>
        </w:rPr>
        <w:t>Para poner un ejemplo, el Acuerdo Distrital N. 91 de 2003 estableció “EL PLAN DE IGUALDAD DE OPORTUNIDADES PARA LA EQUIDAD DE GENERO EN EL DISTRITO CA” y a su autor o autora que ahora mismo no se puede identificar, le pareció importante incluir el artículo 6 que definió “</w:t>
      </w:r>
      <w:r>
        <w:rPr>
          <w:i/>
          <w:sz w:val="22"/>
          <w:szCs w:val="22"/>
        </w:rPr>
        <w:t>El Consejo Distrital de Política Social rendirá informes semestrales al Concejo de Bogotá D.C., a partir de la fecha de sanción del presente Acuerdo, los que contendrán los indicadores de gestión, avance y evaluación de las líneas de acción y demás disposiciones contenidas en el Plan de Igualdad de Oportunidades</w:t>
      </w:r>
      <w:r>
        <w:rPr>
          <w:sz w:val="22"/>
          <w:szCs w:val="22"/>
        </w:rPr>
        <w:t>”, pero es una obligación que lleva vigente 22 años, con la cual se debieron remitir 44 informes que no tienen difusión y mucho menos un uso común por parte de la ciudadanía. Este, sin embargo, no es un hecho que se deba a que el informe en sí mismo no fuese importante, sino que simplemente se perdió de vista por el paso del tiempo, pese a que la información que pudiera contener es de absoluta importancia para lograr las metas de equidad de género en Bogotá.</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No obstante, nadie reclama este informe, y no es posible saber qué de lo estipulado en el acuerdo se cumplió o no y cómo se cumplió. Finalmente, lo importante de esa norma de quien ahora desconocemos su directa autoría es que se fijaran políticas públicas que incluyeran metas que llevasen a una ciudad más justa y equitativa para mujeres y hombres. </w:t>
      </w:r>
    </w:p>
    <w:p w:rsidR="00350C15" w:rsidRDefault="00350C15" w:rsidP="0008579D">
      <w:pPr>
        <w:jc w:val="both"/>
        <w:rPr>
          <w:sz w:val="22"/>
          <w:szCs w:val="22"/>
        </w:rPr>
      </w:pPr>
    </w:p>
    <w:p w:rsidR="00350C15" w:rsidRDefault="005E027A" w:rsidP="0008579D">
      <w:pPr>
        <w:jc w:val="both"/>
        <w:rPr>
          <w:sz w:val="22"/>
          <w:szCs w:val="22"/>
        </w:rPr>
      </w:pPr>
      <w:r>
        <w:rPr>
          <w:sz w:val="22"/>
          <w:szCs w:val="22"/>
        </w:rPr>
        <w:t>Otro ejemplo, esta vez de iniciativa de la Administración Distrital, el Acuerdo 180 de 2005 con el cual se aprobó una contribución de valorización, estableció en su artículo 13 “E</w:t>
      </w:r>
      <w:r>
        <w:rPr>
          <w:i/>
          <w:sz w:val="22"/>
          <w:szCs w:val="22"/>
        </w:rPr>
        <w:t>l Instituto de Desarrollo Urbano deberá presentar a consideración del Concejo Distrital, informes anuales sobre: avances de estudios diseños e interventorías, compra de predios y su acompañamiento social, ejecución de obras con sus interventorías y recaudo de la contribución de valorización</w:t>
      </w:r>
      <w:r>
        <w:rPr>
          <w:sz w:val="22"/>
          <w:szCs w:val="22"/>
        </w:rPr>
        <w:t xml:space="preserve">.”, pero este informe, 20 años después no está disponible ni llega al concejo de Bogotá. Para obtener información sobre las obras que se ejecutan de ese acuerdo, es necesario tramitarla ante el IDU. En el portal web del IDU, únicamente se encuentra disponible la información de las obras correspondientes a los acuerdos 724 de 2018 y 523 de 2013, tal como puede verse en el enlace </w:t>
      </w:r>
      <w:hyperlink r:id="rId9" w:anchor="asi-van-las-obras">
        <w:r>
          <w:rPr>
            <w:color w:val="0000FF"/>
            <w:sz w:val="22"/>
            <w:szCs w:val="22"/>
            <w:u w:val="single"/>
          </w:rPr>
          <w:t>https://www.idu.gov.co/page/valorizacion-1#asi-van-las-obras</w:t>
        </w:r>
      </w:hyperlink>
      <w:r>
        <w:rPr>
          <w:sz w:val="22"/>
          <w:szCs w:val="22"/>
        </w:rPr>
        <w:t xml:space="preserve">, pero no existe información sobre las obras de todos los planes de obras en un sistema que permita al concejo y a la ciudadanía tener información clara y precisa para todos los proyectos aprobados. </w:t>
      </w:r>
    </w:p>
    <w:p w:rsidR="00350C15" w:rsidRDefault="00350C15" w:rsidP="0008579D">
      <w:pPr>
        <w:jc w:val="both"/>
        <w:rPr>
          <w:sz w:val="22"/>
          <w:szCs w:val="22"/>
        </w:rPr>
      </w:pPr>
    </w:p>
    <w:p w:rsidR="00350C15" w:rsidRDefault="005E027A" w:rsidP="0008579D">
      <w:pPr>
        <w:jc w:val="both"/>
        <w:rPr>
          <w:sz w:val="22"/>
          <w:szCs w:val="22"/>
        </w:rPr>
      </w:pPr>
      <w:r>
        <w:rPr>
          <w:sz w:val="22"/>
          <w:szCs w:val="22"/>
        </w:rPr>
        <w:t>El proyecto de acuerdo en discusión presenta también  información sobre un buen número de acuerdos que contienen la obligación de presentar informes, sobre los cuales además hay un balance negativo ya que además de que no se presentan, cuando sí lo hacen, tampoco existe un mecanismo eficiente para determinar su funcionalidad. Estos informes se remiten de manera genérica a los concejales sin que exista un procedimiento claro de archivo, almacenamiento o disposición al público, pues en esencia esa tampoco es la misionalidad del concejo de Bogotá.</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Ahora bien, en este análisis hay que decir también que los acuerdos distritales no son ejecutables en sí mismos, salvo los que determinan elementos esenciales del gobierno como los Planes de Desarrollo o los Presupuestos Públicos o en general los acuerdos incidentes en materia presupuestal. La mayoría de acuerdos de iniciativa de concejales dicen no tener impacto fiscal y señalan que su fuente de financiación son los planes de desarrollo, para lo que se señala alguna línea de inversión vigente al momento d ela discusión y </w:t>
      </w:r>
      <w:r w:rsidR="0040399D">
        <w:rPr>
          <w:sz w:val="22"/>
          <w:szCs w:val="22"/>
        </w:rPr>
        <w:t>aprobación.</w:t>
      </w:r>
      <w:r>
        <w:rPr>
          <w:sz w:val="22"/>
          <w:szCs w:val="22"/>
        </w:rPr>
        <w:t xml:space="preserve">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Ciertamente, las entidades que conforman la administración pública, independiente de su naturaleza, ejecutan los recursos cuatrianuales conforme al Plan Plurianual de Inversiones que es la materialización del Plan Distrital de Desarrollo. En ese sentido, por más buenas intenciones que tenga el o la concejal que presente una iniciativa, cada acción que se ejecute en el Distrito Capital debe estar enmarcada en una línea de inversión, o de lo contrario, no hay cómo ejecutarla, pues de fondo, cada acción requiere así sea de un mínimo de recursos.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Así las cosas, se tiene que cuando se presentan los informes por parte de la administración Distrital, lo que se presenta es la forma en que las líneas de inversión del plan de desarrollo vigente apuntan para el cumplimiento de los objetivos trazados en determinado acuerdo. O si se trata del cumplimiento de una política pública, se da informe sobre el cumplimiento del producto contenido en determinada política </w:t>
      </w:r>
      <w:r w:rsidR="0040399D">
        <w:rPr>
          <w:sz w:val="22"/>
          <w:szCs w:val="22"/>
        </w:rPr>
        <w:t>que,</w:t>
      </w:r>
      <w:r>
        <w:rPr>
          <w:sz w:val="22"/>
          <w:szCs w:val="22"/>
        </w:rPr>
        <w:t xml:space="preserve"> a su vez, se financia a través de las líneas de inversión de los planes de Desarrollo.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En ese sentido, es menester reconocer que el Distrito Capital cuenta con dos mecanismos de seguimiento que son los que permiten hacer seguimiento a los planes de desarrollo y a las políticas públicas. La Secretaría Distrital de Planeación lidera por un lado el Sistema de Seguimiento y Evaluación de Políticas Públicas Distritales SSEPP que es una herramienta que le permite a la Administración Distrital registrar el avance en la implementación de las políticas públicas adoptadas por CONPES Distrital; de otro lado opera el Sistema de Seguimiento al Plan Distrital de Desarrollo SEGPLAN, siendo estos dos sistemas tecnológicos la base del seguimiento a las inversiones de Bogotá, pero también a las apuestas en términos de inversión y beneficio social. </w:t>
      </w:r>
    </w:p>
    <w:p w:rsidR="00350C15" w:rsidRDefault="00350C15" w:rsidP="0008579D">
      <w:pPr>
        <w:jc w:val="both"/>
        <w:rPr>
          <w:sz w:val="22"/>
          <w:szCs w:val="22"/>
        </w:rPr>
      </w:pPr>
    </w:p>
    <w:p w:rsidR="00350C15" w:rsidRDefault="005E027A" w:rsidP="0008579D">
      <w:pPr>
        <w:jc w:val="both"/>
        <w:rPr>
          <w:sz w:val="22"/>
          <w:szCs w:val="22"/>
        </w:rPr>
      </w:pPr>
      <w:r>
        <w:rPr>
          <w:sz w:val="22"/>
          <w:szCs w:val="22"/>
        </w:rPr>
        <w:lastRenderedPageBreak/>
        <w:t xml:space="preserve">De ello resulta importante decir que estos dos sistemas producen informes periódicos que son en esencia los que se emplean en la construcción de los informes obligatorios para las entidades, y además son fuente de información, junto con el sistema Bogdata para los trabajos adelantados por los organismos de control.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Teniendo en cuenta lo dicho, y sumándolo a la responsabilidad que claramente tiene la Dirección de Relaciones Políticas-DRP de la Secretaría Distrital de Gobierno, es posible decir que las herramientas e insumos están disponibles y lo que podría hacer más eficiente la gestión del concejo en el tiempo es la creación del observatorio, liderado por la Dirección de Relaciones Políticas, donde se configuren las principales categorías en las que se enmarcan los proyectos adoptados año a año por el cabildo  y que éstas se alimenten de la información que reposa ya en el SSEPP y SEGPLAN. Sin embargo, en este punto también resulta importante vincular a la Secretaría Jurídica Distrital que entre sus funciones tiene la divulgación del ordenamiento jurídico del Distrito y el acceso a la información jurídica, así como procurar por el desarrollo, mantenimiento e implementación de los sistemas de información jurídica. </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En un escenario de coordinación entre estas tres entidades: Secretaría Distrital de Planeación, Secretaría Distrital de Gobierno-Dirección de relaciones Políticas y la Secretaría Jurídica Distrital, la creación de un metadato no es más que la compilación de la información que ya se encuentra disponible en los sistemas de seguimiento del Distrito Capital y que permite racionalizar la actividad de las entidades que conforman la administración Distrital que en vez de organizar informes, al contrario pueden consultar la información para la formulación de sus proyectos, planes y programas. </w:t>
      </w:r>
    </w:p>
    <w:p w:rsidR="00350C15" w:rsidRDefault="00350C15" w:rsidP="0008579D">
      <w:pPr>
        <w:jc w:val="both"/>
        <w:rPr>
          <w:sz w:val="22"/>
          <w:szCs w:val="22"/>
        </w:rPr>
      </w:pPr>
    </w:p>
    <w:p w:rsidR="00350C15" w:rsidRDefault="005E027A" w:rsidP="0008579D">
      <w:pPr>
        <w:jc w:val="both"/>
        <w:rPr>
          <w:sz w:val="22"/>
          <w:szCs w:val="22"/>
        </w:rPr>
      </w:pPr>
      <w:r>
        <w:rPr>
          <w:sz w:val="22"/>
          <w:szCs w:val="22"/>
        </w:rPr>
        <w:t>Insistiendo, la ventaja de crear un metadato es que la información de insumo ya existe y ya se procesa a través de software que coordina una misma entidad. En esa lógica, las actividades adelantadas por la SDP son el insumo para que la DRP oriente y administre el observatorio propuesto en este proyecto de acuerdo, pero con la verificación y guía de la Secretaría Jurídica Distrital. Un metadato es un dato sobre otro dato</w:t>
      </w:r>
      <w:r>
        <w:rPr>
          <w:sz w:val="22"/>
          <w:szCs w:val="22"/>
          <w:vertAlign w:val="superscript"/>
        </w:rPr>
        <w:footnoteReference w:id="1"/>
      </w:r>
      <w:r>
        <w:rPr>
          <w:sz w:val="22"/>
          <w:szCs w:val="22"/>
        </w:rPr>
        <w:t xml:space="preserve"> que sirve para suministrar información sobre los datos producidos. Esto significa que si se crean categorías que permitan clasificar los contenidos de las normas año a año, éstas se pueden alimentar de los contenidos del SSEPP y el SEGPLAN, dejando además esta información disponible para los ciudadanos, organismos de control y el mismo concejo de Bogotá a través del tiempo.</w:t>
      </w:r>
    </w:p>
    <w:p w:rsidR="00350C15" w:rsidRDefault="00350C15" w:rsidP="0008579D">
      <w:pPr>
        <w:jc w:val="both"/>
        <w:rPr>
          <w:sz w:val="22"/>
          <w:szCs w:val="22"/>
        </w:rPr>
      </w:pPr>
    </w:p>
    <w:p w:rsidR="00350C15" w:rsidRDefault="005E027A" w:rsidP="0008579D">
      <w:pPr>
        <w:jc w:val="both"/>
        <w:rPr>
          <w:sz w:val="22"/>
          <w:szCs w:val="22"/>
        </w:rPr>
      </w:pPr>
      <w:r>
        <w:rPr>
          <w:sz w:val="22"/>
          <w:szCs w:val="22"/>
        </w:rPr>
        <w:t xml:space="preserve">De acuerdo con esto, la modificación que se propone reúne la información ya disponible y busca que ésta además demuestre cómo las inversiones y las políticas públicas han permitido la eficiencia y eficacia de las normas adoptadas o determinar si en efecto alguna o algunas de estas no tienen un sentido práctico pese a sus buenas intenciones. </w:t>
      </w:r>
    </w:p>
    <w:p w:rsidR="00350C15" w:rsidRDefault="00350C15" w:rsidP="0008579D">
      <w:pPr>
        <w:jc w:val="both"/>
        <w:rPr>
          <w:sz w:val="22"/>
          <w:szCs w:val="22"/>
        </w:rPr>
      </w:pPr>
    </w:p>
    <w:p w:rsidR="00350C15" w:rsidRDefault="005E027A" w:rsidP="0008579D">
      <w:pPr>
        <w:jc w:val="both"/>
        <w:rPr>
          <w:sz w:val="22"/>
          <w:szCs w:val="22"/>
        </w:rPr>
      </w:pPr>
      <w:r>
        <w:rPr>
          <w:sz w:val="22"/>
          <w:szCs w:val="22"/>
        </w:rPr>
        <w:lastRenderedPageBreak/>
        <w:t xml:space="preserve">En términos de la eficiencia de la administración Distrital es importante reconocer que los informes obligatorios, si bien tienen un admirable fin, se convierten en una carga difícil de manejar pues deben destinarse los recursos humanos que permitan entregar los cientos de informes que finalmente poco se leen. La propuesta de modificación presentada busca que el observatorio demuestre las inversiones y avances que tiene cada categoría de clasificación de las normas adoptadas para que año a año se presente información transparente, pública y de utilidad no sólo para el concejo, sino para la ciudadanía en general. </w:t>
      </w:r>
    </w:p>
    <w:p w:rsidR="00350C15" w:rsidRDefault="00350C15" w:rsidP="0008579D">
      <w:pPr>
        <w:jc w:val="both"/>
        <w:rPr>
          <w:sz w:val="22"/>
          <w:szCs w:val="22"/>
        </w:rPr>
      </w:pPr>
    </w:p>
    <w:p w:rsidR="00350C15" w:rsidRDefault="005E027A" w:rsidP="0008579D">
      <w:pPr>
        <w:jc w:val="both"/>
        <w:rPr>
          <w:sz w:val="22"/>
          <w:szCs w:val="22"/>
        </w:rPr>
      </w:pPr>
      <w:r>
        <w:rPr>
          <w:sz w:val="22"/>
          <w:szCs w:val="22"/>
        </w:rPr>
        <w:t>Este proyecto es por demás una iniciativa loable que con seguridad fortalecerá la acción de la administración Distrital, pero que además permite que se cree un sistema de seguimiento real a la implementación de las normas adoptadas por el concejo de Bogotá. Sin embargo, de las derogatorias propuestas por los autores se han retirado informes que son necesarios presupuestalmente y otros que han sido adoptados directamente por la administración, especialmente en el Plan Distrital de Desarrollo.</w:t>
      </w:r>
    </w:p>
    <w:p w:rsidR="00350C15" w:rsidRDefault="00350C15" w:rsidP="0008579D">
      <w:pPr>
        <w:jc w:val="both"/>
        <w:rPr>
          <w:sz w:val="22"/>
          <w:szCs w:val="22"/>
        </w:rPr>
      </w:pPr>
    </w:p>
    <w:p w:rsidR="00350C15" w:rsidRDefault="005E027A" w:rsidP="0008579D">
      <w:pPr>
        <w:numPr>
          <w:ilvl w:val="0"/>
          <w:numId w:val="2"/>
        </w:numPr>
        <w:jc w:val="both"/>
        <w:rPr>
          <w:sz w:val="22"/>
          <w:szCs w:val="22"/>
          <w:highlight w:val="white"/>
          <w:u w:val="single"/>
        </w:rPr>
      </w:pPr>
      <w:bookmarkStart w:id="2" w:name="_heading=h.aloma75jlk9s" w:colFirst="0" w:colLast="0"/>
      <w:bookmarkEnd w:id="2"/>
      <w:r>
        <w:rPr>
          <w:b/>
          <w:sz w:val="22"/>
          <w:szCs w:val="22"/>
          <w:highlight w:val="white"/>
          <w:u w:val="single"/>
        </w:rPr>
        <w:t>CONCLUSIONES</w:t>
      </w:r>
    </w:p>
    <w:p w:rsidR="00350C15" w:rsidRDefault="00350C15" w:rsidP="0008579D">
      <w:pPr>
        <w:jc w:val="both"/>
        <w:rPr>
          <w:b/>
          <w:sz w:val="22"/>
          <w:szCs w:val="22"/>
          <w:highlight w:val="white"/>
          <w:u w:val="single"/>
        </w:rPr>
      </w:pPr>
    </w:p>
    <w:p w:rsidR="00350C15" w:rsidRDefault="005E027A" w:rsidP="0008579D">
      <w:pPr>
        <w:jc w:val="both"/>
        <w:rPr>
          <w:i/>
          <w:sz w:val="23"/>
          <w:szCs w:val="23"/>
        </w:rPr>
      </w:pPr>
      <w:r>
        <w:rPr>
          <w:sz w:val="22"/>
          <w:szCs w:val="22"/>
          <w:highlight w:val="white"/>
        </w:rPr>
        <w:t xml:space="preserve">Teniendo en cuenta las consideraciones planteadas y los argumentos sostenidos, </w:t>
      </w:r>
      <w:r>
        <w:rPr>
          <w:sz w:val="22"/>
          <w:szCs w:val="22"/>
        </w:rPr>
        <w:t xml:space="preserve">me permito rendir </w:t>
      </w:r>
      <w:r>
        <w:rPr>
          <w:b/>
          <w:sz w:val="22"/>
          <w:szCs w:val="22"/>
        </w:rPr>
        <w:t>PONENCIA POSITIVA</w:t>
      </w:r>
      <w:r>
        <w:rPr>
          <w:sz w:val="22"/>
          <w:szCs w:val="22"/>
        </w:rPr>
        <w:t xml:space="preserve"> al Proyecto de Acuerdo 443 de 2025 “</w:t>
      </w:r>
      <w:r>
        <w:rPr>
          <w:i/>
          <w:sz w:val="23"/>
          <w:szCs w:val="23"/>
        </w:rPr>
        <w:t>Por medio del cual se establecen lineamientos para la racionalización normativa de los Acuerdos del Concejo de Bogotá y se crea el Observatorio de Seguimiento y Evaluación de Cumplimiento Normativo (“Alfonso López Michelsen”) en Bogotá D.C.”</w:t>
      </w:r>
    </w:p>
    <w:p w:rsidR="00350C15" w:rsidRDefault="00350C15" w:rsidP="0008579D">
      <w:pPr>
        <w:jc w:val="both"/>
        <w:rPr>
          <w:b/>
          <w:sz w:val="22"/>
          <w:szCs w:val="22"/>
          <w:u w:val="single"/>
        </w:rPr>
      </w:pPr>
    </w:p>
    <w:p w:rsidR="00350C15" w:rsidRDefault="00350C15" w:rsidP="0008579D">
      <w:pPr>
        <w:jc w:val="both"/>
        <w:rPr>
          <w:sz w:val="22"/>
          <w:szCs w:val="22"/>
          <w:highlight w:val="white"/>
        </w:rPr>
      </w:pPr>
    </w:p>
    <w:p w:rsidR="00350C15" w:rsidRDefault="005E027A" w:rsidP="0008579D">
      <w:pPr>
        <w:jc w:val="both"/>
        <w:rPr>
          <w:sz w:val="22"/>
          <w:szCs w:val="22"/>
        </w:rPr>
      </w:pPr>
      <w:r>
        <w:rPr>
          <w:sz w:val="22"/>
          <w:szCs w:val="22"/>
        </w:rPr>
        <w:t>Atentamente,</w:t>
      </w:r>
    </w:p>
    <w:p w:rsidR="00350C15" w:rsidRDefault="00350C15" w:rsidP="0008579D">
      <w:pPr>
        <w:jc w:val="both"/>
        <w:rPr>
          <w:sz w:val="22"/>
          <w:szCs w:val="22"/>
        </w:rPr>
      </w:pPr>
    </w:p>
    <w:p w:rsidR="00350C15" w:rsidRDefault="00350C15" w:rsidP="0008579D">
      <w:pPr>
        <w:jc w:val="both"/>
        <w:rPr>
          <w:sz w:val="22"/>
          <w:szCs w:val="22"/>
        </w:rPr>
      </w:pPr>
    </w:p>
    <w:p w:rsidR="00350C15" w:rsidRDefault="00350C15" w:rsidP="0008579D">
      <w:pPr>
        <w:jc w:val="both"/>
        <w:rPr>
          <w:sz w:val="22"/>
          <w:szCs w:val="22"/>
        </w:rPr>
      </w:pPr>
    </w:p>
    <w:p w:rsidR="00350C15" w:rsidRDefault="00350C15" w:rsidP="0008579D">
      <w:pPr>
        <w:jc w:val="both"/>
        <w:rPr>
          <w:sz w:val="22"/>
          <w:szCs w:val="22"/>
        </w:rPr>
      </w:pPr>
    </w:p>
    <w:p w:rsidR="00350C15" w:rsidRDefault="00350C15" w:rsidP="0008579D">
      <w:pPr>
        <w:rPr>
          <w:b/>
          <w:sz w:val="22"/>
          <w:szCs w:val="22"/>
        </w:rPr>
      </w:pPr>
    </w:p>
    <w:p w:rsidR="00350C15" w:rsidRDefault="005E027A" w:rsidP="0008579D">
      <w:pPr>
        <w:rPr>
          <w:b/>
          <w:sz w:val="22"/>
          <w:szCs w:val="22"/>
        </w:rPr>
      </w:pPr>
      <w:r>
        <w:rPr>
          <w:b/>
          <w:sz w:val="22"/>
          <w:szCs w:val="22"/>
        </w:rPr>
        <w:t>GERMÁN AUGUSTO GARCÍA MAYA</w:t>
      </w:r>
    </w:p>
    <w:p w:rsidR="00350C15" w:rsidRDefault="005E027A" w:rsidP="0008579D">
      <w:pPr>
        <w:rPr>
          <w:sz w:val="22"/>
          <w:szCs w:val="22"/>
        </w:rPr>
      </w:pPr>
      <w:r>
        <w:rPr>
          <w:sz w:val="22"/>
          <w:szCs w:val="22"/>
        </w:rPr>
        <w:t>Concejal de Bogotá, D. C.</w:t>
      </w:r>
      <w:r>
        <w:rPr>
          <w:sz w:val="22"/>
          <w:szCs w:val="22"/>
        </w:rPr>
        <w:tab/>
      </w:r>
      <w:r>
        <w:rPr>
          <w:sz w:val="22"/>
          <w:szCs w:val="22"/>
        </w:rPr>
        <w:tab/>
      </w:r>
      <w:r>
        <w:rPr>
          <w:sz w:val="22"/>
          <w:szCs w:val="22"/>
        </w:rPr>
        <w:tab/>
      </w:r>
      <w:r>
        <w:rPr>
          <w:sz w:val="22"/>
          <w:szCs w:val="22"/>
        </w:rPr>
        <w:tab/>
      </w:r>
    </w:p>
    <w:p w:rsidR="00350C15" w:rsidRDefault="005E027A" w:rsidP="0008579D">
      <w:pPr>
        <w:rPr>
          <w:sz w:val="22"/>
          <w:szCs w:val="22"/>
        </w:rPr>
      </w:pPr>
      <w:r>
        <w:rPr>
          <w:sz w:val="22"/>
          <w:szCs w:val="22"/>
        </w:rPr>
        <w:t>Ponente</w:t>
      </w:r>
    </w:p>
    <w:p w:rsidR="00350C15" w:rsidRDefault="005E027A" w:rsidP="0008579D">
      <w:pPr>
        <w:rPr>
          <w:sz w:val="22"/>
          <w:szCs w:val="22"/>
        </w:rPr>
      </w:pPr>
      <w:r>
        <w:rPr>
          <w:sz w:val="22"/>
          <w:szCs w:val="22"/>
        </w:rPr>
        <w:t>Partido Liberal Colombiano</w:t>
      </w:r>
    </w:p>
    <w:p w:rsidR="00350C15" w:rsidRDefault="00350C15" w:rsidP="0008579D">
      <w:pPr>
        <w:jc w:val="both"/>
        <w:rPr>
          <w:b/>
          <w:sz w:val="22"/>
          <w:szCs w:val="22"/>
          <w:u w:val="single"/>
        </w:rPr>
      </w:pPr>
    </w:p>
    <w:p w:rsidR="00350C15" w:rsidRDefault="00350C15" w:rsidP="0008579D">
      <w:pPr>
        <w:jc w:val="both"/>
        <w:rPr>
          <w:b/>
          <w:sz w:val="22"/>
          <w:szCs w:val="22"/>
          <w:u w:val="single"/>
        </w:rPr>
      </w:pPr>
    </w:p>
    <w:p w:rsidR="00350C15" w:rsidRDefault="00350C15" w:rsidP="0008579D">
      <w:pPr>
        <w:jc w:val="both"/>
        <w:rPr>
          <w:b/>
          <w:sz w:val="22"/>
          <w:szCs w:val="22"/>
          <w:u w:val="single"/>
        </w:rPr>
      </w:pPr>
    </w:p>
    <w:p w:rsidR="00350C15" w:rsidRDefault="00350C15" w:rsidP="0008579D">
      <w:pPr>
        <w:jc w:val="both"/>
        <w:rPr>
          <w:b/>
          <w:sz w:val="22"/>
          <w:szCs w:val="22"/>
          <w:u w:val="single"/>
        </w:rPr>
      </w:pPr>
    </w:p>
    <w:p w:rsidR="00350C15" w:rsidRDefault="00350C15" w:rsidP="0008579D">
      <w:pPr>
        <w:jc w:val="center"/>
        <w:rPr>
          <w:b/>
          <w:i/>
          <w:sz w:val="22"/>
          <w:szCs w:val="22"/>
        </w:rPr>
      </w:pPr>
    </w:p>
    <w:p w:rsidR="00350C15" w:rsidRDefault="00350C15" w:rsidP="0008579D">
      <w:pPr>
        <w:jc w:val="center"/>
        <w:rPr>
          <w:b/>
          <w:i/>
          <w:sz w:val="22"/>
          <w:szCs w:val="22"/>
        </w:rPr>
      </w:pPr>
    </w:p>
    <w:p w:rsidR="00350C15" w:rsidRDefault="00350C15" w:rsidP="0008579D">
      <w:pPr>
        <w:jc w:val="center"/>
        <w:rPr>
          <w:b/>
          <w:i/>
          <w:sz w:val="22"/>
          <w:szCs w:val="22"/>
        </w:rPr>
      </w:pPr>
    </w:p>
    <w:p w:rsidR="0040399D" w:rsidRDefault="0040399D" w:rsidP="0008579D">
      <w:pPr>
        <w:jc w:val="center"/>
        <w:rPr>
          <w:b/>
          <w:i/>
          <w:sz w:val="22"/>
          <w:szCs w:val="22"/>
        </w:rPr>
      </w:pPr>
    </w:p>
    <w:p w:rsidR="0040399D" w:rsidRDefault="0040399D" w:rsidP="0008579D">
      <w:pPr>
        <w:jc w:val="center"/>
        <w:rPr>
          <w:b/>
          <w:i/>
          <w:sz w:val="22"/>
          <w:szCs w:val="22"/>
        </w:rPr>
      </w:pPr>
    </w:p>
    <w:p w:rsidR="0040399D" w:rsidRDefault="0040399D" w:rsidP="0008579D">
      <w:pPr>
        <w:jc w:val="center"/>
        <w:rPr>
          <w:b/>
          <w:i/>
          <w:sz w:val="22"/>
          <w:szCs w:val="22"/>
        </w:rPr>
      </w:pPr>
    </w:p>
    <w:p w:rsidR="0040399D" w:rsidRDefault="0040399D" w:rsidP="0008579D">
      <w:pPr>
        <w:jc w:val="center"/>
        <w:rPr>
          <w:b/>
          <w:i/>
          <w:sz w:val="22"/>
          <w:szCs w:val="22"/>
        </w:rPr>
      </w:pPr>
    </w:p>
    <w:p w:rsidR="00350C15" w:rsidRDefault="00350C15" w:rsidP="0008579D">
      <w:pPr>
        <w:jc w:val="center"/>
        <w:rPr>
          <w:b/>
          <w:i/>
          <w:sz w:val="22"/>
          <w:szCs w:val="22"/>
        </w:rPr>
      </w:pPr>
    </w:p>
    <w:p w:rsidR="00350C15" w:rsidRDefault="00350C15" w:rsidP="0008579D">
      <w:pPr>
        <w:jc w:val="center"/>
        <w:rPr>
          <w:b/>
          <w:i/>
          <w:sz w:val="22"/>
          <w:szCs w:val="22"/>
        </w:rPr>
      </w:pPr>
    </w:p>
    <w:p w:rsidR="00350C15" w:rsidRDefault="005E027A" w:rsidP="0008579D">
      <w:pPr>
        <w:jc w:val="center"/>
        <w:rPr>
          <w:b/>
          <w:sz w:val="22"/>
          <w:szCs w:val="22"/>
        </w:rPr>
      </w:pPr>
      <w:r>
        <w:rPr>
          <w:b/>
          <w:sz w:val="22"/>
          <w:szCs w:val="22"/>
        </w:rPr>
        <w:t>PLIEGO DE MODIFICACIONES</w:t>
      </w:r>
    </w:p>
    <w:p w:rsidR="00350C15" w:rsidRDefault="00350C15" w:rsidP="0008579D">
      <w:pPr>
        <w:jc w:val="center"/>
        <w:rPr>
          <w:b/>
          <w:i/>
          <w:sz w:val="22"/>
          <w:szCs w:val="22"/>
        </w:rPr>
      </w:pPr>
    </w:p>
    <w:tbl>
      <w:tblPr>
        <w:tblStyle w:val="a8"/>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5"/>
        <w:gridCol w:w="4415"/>
      </w:tblGrid>
      <w:tr w:rsidR="00350C15">
        <w:tc>
          <w:tcPr>
            <w:tcW w:w="4415" w:type="dxa"/>
          </w:tcPr>
          <w:p w:rsidR="00350C15" w:rsidRDefault="005E027A" w:rsidP="0008579D">
            <w:pPr>
              <w:jc w:val="center"/>
              <w:rPr>
                <w:b/>
                <w:sz w:val="22"/>
                <w:szCs w:val="22"/>
              </w:rPr>
            </w:pPr>
            <w:bookmarkStart w:id="3" w:name="_heading=h.1jk6foanr3mx" w:colFirst="0" w:colLast="0"/>
            <w:bookmarkEnd w:id="3"/>
            <w:r>
              <w:rPr>
                <w:b/>
                <w:sz w:val="22"/>
                <w:szCs w:val="22"/>
              </w:rPr>
              <w:t>TEXTO ORIGINAL</w:t>
            </w:r>
          </w:p>
        </w:tc>
        <w:tc>
          <w:tcPr>
            <w:tcW w:w="4415" w:type="dxa"/>
          </w:tcPr>
          <w:p w:rsidR="00350C15" w:rsidRDefault="005E027A" w:rsidP="0008579D">
            <w:pPr>
              <w:jc w:val="center"/>
              <w:rPr>
                <w:b/>
                <w:sz w:val="22"/>
                <w:szCs w:val="22"/>
              </w:rPr>
            </w:pPr>
            <w:r>
              <w:rPr>
                <w:b/>
                <w:sz w:val="22"/>
                <w:szCs w:val="22"/>
              </w:rPr>
              <w:t>MODIFICACIÓN PROPUESTA</w:t>
            </w:r>
          </w:p>
        </w:tc>
      </w:tr>
      <w:tr w:rsidR="00350C15">
        <w:tc>
          <w:tcPr>
            <w:tcW w:w="4415" w:type="dxa"/>
          </w:tcPr>
          <w:p w:rsidR="00350C15" w:rsidRDefault="005E027A" w:rsidP="0008579D">
            <w:pPr>
              <w:jc w:val="center"/>
              <w:rPr>
                <w:sz w:val="22"/>
                <w:szCs w:val="22"/>
              </w:rPr>
            </w:pPr>
            <w:r>
              <w:rPr>
                <w:sz w:val="22"/>
                <w:szCs w:val="22"/>
              </w:rPr>
              <w:t>Por medio del cual se establecen lineamientos para la racionalización normativa de los Acuerdos del Concejo de Bogotá y se crea el Observatorio de Seguimiento y Evaluación de Cumplimiento Normativo (“Alfonso López Michelsen”)</w:t>
            </w:r>
            <w:r>
              <w:rPr>
                <w:i/>
                <w:sz w:val="22"/>
                <w:szCs w:val="22"/>
              </w:rPr>
              <w:t xml:space="preserve"> </w:t>
            </w:r>
            <w:r>
              <w:rPr>
                <w:sz w:val="22"/>
                <w:szCs w:val="22"/>
              </w:rPr>
              <w:t>en Bogotá D.C.”</w:t>
            </w:r>
          </w:p>
          <w:p w:rsidR="00350C15" w:rsidRDefault="00350C15" w:rsidP="0008579D">
            <w:pPr>
              <w:jc w:val="both"/>
              <w:rPr>
                <w:b/>
                <w:sz w:val="22"/>
                <w:szCs w:val="22"/>
              </w:rPr>
            </w:pPr>
          </w:p>
        </w:tc>
        <w:tc>
          <w:tcPr>
            <w:tcW w:w="4415" w:type="dxa"/>
          </w:tcPr>
          <w:p w:rsidR="00350C15" w:rsidRDefault="005E027A" w:rsidP="0008579D">
            <w:pPr>
              <w:jc w:val="center"/>
              <w:rPr>
                <w:sz w:val="22"/>
                <w:szCs w:val="22"/>
              </w:rPr>
            </w:pPr>
            <w:r>
              <w:rPr>
                <w:sz w:val="22"/>
                <w:szCs w:val="22"/>
              </w:rPr>
              <w:t>Por medio del cual se establecen lineamientos para la racionalización normativa de los Acuerdos del Concejo de Bogotá, se crea el Observatorio de Seguimiento y Evaluación de Cumplimiento Normativo (“Alfonso López Michelsen”)</w:t>
            </w:r>
            <w:r>
              <w:rPr>
                <w:i/>
                <w:sz w:val="22"/>
                <w:szCs w:val="22"/>
              </w:rPr>
              <w:t xml:space="preserve"> </w:t>
            </w:r>
            <w:r>
              <w:rPr>
                <w:sz w:val="22"/>
                <w:szCs w:val="22"/>
              </w:rPr>
              <w:t>en Bogotá D.C</w:t>
            </w:r>
            <w:r>
              <w:rPr>
                <w:color w:val="FF0000"/>
                <w:sz w:val="22"/>
                <w:szCs w:val="22"/>
              </w:rPr>
              <w:t>. y se dictan otras disposiciones</w:t>
            </w:r>
            <w:r>
              <w:rPr>
                <w:sz w:val="22"/>
                <w:szCs w:val="22"/>
              </w:rPr>
              <w:t>”</w:t>
            </w:r>
          </w:p>
          <w:p w:rsidR="00350C15" w:rsidRDefault="00350C15" w:rsidP="0008579D">
            <w:pPr>
              <w:jc w:val="center"/>
              <w:rPr>
                <w:sz w:val="22"/>
                <w:szCs w:val="22"/>
              </w:rPr>
            </w:pPr>
          </w:p>
        </w:tc>
      </w:tr>
      <w:tr w:rsidR="00350C15">
        <w:tc>
          <w:tcPr>
            <w:tcW w:w="4415" w:type="dxa"/>
          </w:tcPr>
          <w:p w:rsidR="00350C15" w:rsidRDefault="005E027A" w:rsidP="0008579D">
            <w:pPr>
              <w:jc w:val="center"/>
              <w:rPr>
                <w:sz w:val="22"/>
                <w:szCs w:val="22"/>
              </w:rPr>
            </w:pPr>
            <w:r>
              <w:rPr>
                <w:sz w:val="22"/>
                <w:szCs w:val="22"/>
              </w:rPr>
              <w:t>EL CONCEJO DE BOGOTÁ D.C.</w:t>
            </w:r>
          </w:p>
          <w:p w:rsidR="00350C15" w:rsidRDefault="005E027A" w:rsidP="0008579D">
            <w:pPr>
              <w:jc w:val="center"/>
              <w:rPr>
                <w:sz w:val="22"/>
                <w:szCs w:val="22"/>
              </w:rPr>
            </w:pPr>
            <w:r>
              <w:rPr>
                <w:sz w:val="22"/>
                <w:szCs w:val="22"/>
              </w:rPr>
              <w:t>En ejercicio de sus atribuciones constitucionales y legales, en especial de las conferidas por el numeral 1</w:t>
            </w:r>
            <w:r>
              <w:rPr>
                <w:sz w:val="22"/>
                <w:szCs w:val="22"/>
                <w:vertAlign w:val="superscript"/>
              </w:rPr>
              <w:t>o</w:t>
            </w:r>
            <w:r>
              <w:rPr>
                <w:sz w:val="22"/>
                <w:szCs w:val="22"/>
              </w:rPr>
              <w:t>del Artículo 12 del Decreto Ley 1421 de 1993,</w:t>
            </w:r>
          </w:p>
          <w:p w:rsidR="00350C15" w:rsidRDefault="005E027A" w:rsidP="0008579D">
            <w:pPr>
              <w:jc w:val="center"/>
              <w:rPr>
                <w:sz w:val="22"/>
                <w:szCs w:val="22"/>
              </w:rPr>
            </w:pPr>
            <w:r>
              <w:rPr>
                <w:sz w:val="22"/>
                <w:szCs w:val="22"/>
              </w:rPr>
              <w:t>ACUERDA:</w:t>
            </w:r>
          </w:p>
          <w:p w:rsidR="00350C15" w:rsidRDefault="00350C15" w:rsidP="0008579D">
            <w:pPr>
              <w:jc w:val="both"/>
              <w:rPr>
                <w:b/>
                <w:sz w:val="22"/>
                <w:szCs w:val="22"/>
              </w:rPr>
            </w:pPr>
          </w:p>
        </w:tc>
        <w:tc>
          <w:tcPr>
            <w:tcW w:w="4415" w:type="dxa"/>
          </w:tcPr>
          <w:p w:rsidR="00350C15" w:rsidRDefault="00350C15" w:rsidP="0008579D">
            <w:pPr>
              <w:jc w:val="center"/>
              <w:rPr>
                <w:sz w:val="22"/>
                <w:szCs w:val="22"/>
              </w:rPr>
            </w:pPr>
          </w:p>
          <w:p w:rsidR="00350C15" w:rsidRDefault="00350C15" w:rsidP="0008579D">
            <w:pPr>
              <w:jc w:val="center"/>
              <w:rPr>
                <w:sz w:val="22"/>
                <w:szCs w:val="22"/>
              </w:rPr>
            </w:pPr>
          </w:p>
          <w:p w:rsidR="00350C15" w:rsidRDefault="005E027A" w:rsidP="0008579D">
            <w:pPr>
              <w:jc w:val="center"/>
              <w:rPr>
                <w:sz w:val="22"/>
                <w:szCs w:val="22"/>
              </w:rPr>
            </w:pPr>
            <w:r>
              <w:rPr>
                <w:sz w:val="22"/>
                <w:szCs w:val="22"/>
              </w:rPr>
              <w:t>Queda igual</w:t>
            </w:r>
          </w:p>
        </w:tc>
      </w:tr>
      <w:tr w:rsidR="00350C15">
        <w:tc>
          <w:tcPr>
            <w:tcW w:w="4415" w:type="dxa"/>
          </w:tcPr>
          <w:p w:rsidR="00350C15" w:rsidRDefault="005E027A" w:rsidP="0008579D">
            <w:pPr>
              <w:jc w:val="center"/>
              <w:rPr>
                <w:sz w:val="22"/>
                <w:szCs w:val="22"/>
              </w:rPr>
            </w:pPr>
            <w:r>
              <w:rPr>
                <w:sz w:val="22"/>
                <w:szCs w:val="22"/>
              </w:rPr>
              <w:t>Artículo 1. Objeto. Establecer lineamientos para racionalizar las disposiciones contenidas en los Acuerdos del Concejo de Bogotá relacionadas con la presentación de informes periódicos de avance en el cumplimiento de estos, por parte de la administración de la ciudad.</w:t>
            </w:r>
          </w:p>
        </w:tc>
        <w:tc>
          <w:tcPr>
            <w:tcW w:w="4415" w:type="dxa"/>
          </w:tcPr>
          <w:p w:rsidR="00350C15" w:rsidRDefault="005E027A" w:rsidP="0008579D">
            <w:pPr>
              <w:jc w:val="center"/>
              <w:rPr>
                <w:sz w:val="22"/>
                <w:szCs w:val="22"/>
              </w:rPr>
            </w:pPr>
            <w:r>
              <w:rPr>
                <w:sz w:val="22"/>
                <w:szCs w:val="22"/>
              </w:rPr>
              <w:t xml:space="preserve">Artículo 1. Objeto. Establecer lineamientos para racionalizar las disposiciones contenidas en los Acuerdos del Concejo de Bogotá relacionadas con la presentación de informes periódicos de avance en el cumplimiento de estos, por parte de la administración de la ciudad, </w:t>
            </w:r>
            <w:r>
              <w:rPr>
                <w:color w:val="FF0000"/>
                <w:sz w:val="22"/>
                <w:szCs w:val="22"/>
              </w:rPr>
              <w:t>así como crear mecanismos de transparencia para la gestión normativa a partir de los criterios de eficiencia y eficacia.</w:t>
            </w:r>
          </w:p>
        </w:tc>
      </w:tr>
      <w:tr w:rsidR="00350C15">
        <w:tc>
          <w:tcPr>
            <w:tcW w:w="4415" w:type="dxa"/>
          </w:tcPr>
          <w:p w:rsidR="00350C15" w:rsidRDefault="005E027A" w:rsidP="0008579D">
            <w:pPr>
              <w:jc w:val="center"/>
              <w:rPr>
                <w:sz w:val="22"/>
                <w:szCs w:val="22"/>
              </w:rPr>
            </w:pPr>
            <w:r>
              <w:rPr>
                <w:sz w:val="22"/>
                <w:szCs w:val="22"/>
              </w:rPr>
              <w:t>Artículo 2. Principios. Las acciones que se realicen en el marco de esta iniciativa buscarán:</w:t>
            </w:r>
          </w:p>
          <w:p w:rsidR="00350C15" w:rsidRDefault="005E027A" w:rsidP="0008579D">
            <w:pPr>
              <w:jc w:val="center"/>
              <w:rPr>
                <w:sz w:val="22"/>
                <w:szCs w:val="22"/>
              </w:rPr>
            </w:pPr>
            <w:r>
              <w:rPr>
                <w:sz w:val="22"/>
                <w:szCs w:val="22"/>
              </w:rPr>
              <w:t>Eficiencia: optimización de recursos humanos, técnicos y financieros.</w:t>
            </w:r>
          </w:p>
          <w:p w:rsidR="00350C15" w:rsidRDefault="005E027A" w:rsidP="0008579D">
            <w:pPr>
              <w:jc w:val="center"/>
              <w:rPr>
                <w:sz w:val="22"/>
                <w:szCs w:val="22"/>
              </w:rPr>
            </w:pPr>
            <w:r>
              <w:rPr>
                <w:sz w:val="22"/>
                <w:szCs w:val="22"/>
              </w:rPr>
              <w:t>Austeridad: eliminación de tramites innecesarios y reducción de cargas administrativas.</w:t>
            </w:r>
          </w:p>
          <w:p w:rsidR="00350C15" w:rsidRDefault="005E027A" w:rsidP="0008579D">
            <w:pPr>
              <w:jc w:val="center"/>
              <w:rPr>
                <w:sz w:val="22"/>
                <w:szCs w:val="22"/>
              </w:rPr>
            </w:pPr>
            <w:r>
              <w:rPr>
                <w:sz w:val="22"/>
                <w:szCs w:val="22"/>
              </w:rPr>
              <w:lastRenderedPageBreak/>
              <w:t>Transparencia: acceso abierto, libre y público a la información.</w:t>
            </w:r>
          </w:p>
        </w:tc>
        <w:tc>
          <w:tcPr>
            <w:tcW w:w="4415" w:type="dxa"/>
          </w:tcPr>
          <w:p w:rsidR="00350C15" w:rsidRDefault="00350C15" w:rsidP="0008579D">
            <w:pPr>
              <w:jc w:val="center"/>
              <w:rPr>
                <w:sz w:val="22"/>
                <w:szCs w:val="22"/>
              </w:rPr>
            </w:pPr>
          </w:p>
          <w:p w:rsidR="00350C15" w:rsidRDefault="00350C15" w:rsidP="0008579D">
            <w:pPr>
              <w:jc w:val="center"/>
              <w:rPr>
                <w:sz w:val="22"/>
                <w:szCs w:val="22"/>
              </w:rPr>
            </w:pPr>
          </w:p>
          <w:p w:rsidR="00350C15" w:rsidRDefault="005E027A" w:rsidP="0008579D">
            <w:pPr>
              <w:jc w:val="center"/>
              <w:rPr>
                <w:sz w:val="22"/>
                <w:szCs w:val="22"/>
              </w:rPr>
            </w:pPr>
            <w:r>
              <w:rPr>
                <w:sz w:val="22"/>
                <w:szCs w:val="22"/>
              </w:rPr>
              <w:t>Queda igual</w:t>
            </w:r>
          </w:p>
        </w:tc>
      </w:tr>
      <w:tr w:rsidR="00350C15">
        <w:tc>
          <w:tcPr>
            <w:tcW w:w="4415" w:type="dxa"/>
          </w:tcPr>
          <w:p w:rsidR="00350C15" w:rsidRPr="0008579D" w:rsidRDefault="005E027A" w:rsidP="0008579D">
            <w:pPr>
              <w:jc w:val="center"/>
              <w:rPr>
                <w:sz w:val="22"/>
                <w:szCs w:val="22"/>
              </w:rPr>
            </w:pPr>
            <w:r w:rsidRPr="0008579D">
              <w:rPr>
                <w:sz w:val="22"/>
                <w:szCs w:val="22"/>
              </w:rPr>
              <w:lastRenderedPageBreak/>
              <w:t>Artículo 3. Lineamientos. La racionalización normativa de la que trata el presente Acuerdo requiere de la implementación, cuando menos, de las siguientes directrices:</w:t>
            </w:r>
          </w:p>
          <w:p w:rsidR="00350C15" w:rsidRPr="0008579D" w:rsidRDefault="00350C15" w:rsidP="0008579D">
            <w:pPr>
              <w:jc w:val="center"/>
              <w:rPr>
                <w:sz w:val="22"/>
                <w:szCs w:val="22"/>
              </w:rPr>
            </w:pPr>
          </w:p>
          <w:p w:rsidR="00350C15" w:rsidRPr="0008579D" w:rsidRDefault="005E027A" w:rsidP="0008579D">
            <w:pPr>
              <w:rPr>
                <w:sz w:val="22"/>
                <w:szCs w:val="22"/>
              </w:rPr>
            </w:pPr>
            <w:r w:rsidRPr="0008579D">
              <w:rPr>
                <w:sz w:val="22"/>
                <w:szCs w:val="22"/>
              </w:rPr>
              <w:t>3.1. Derogatorias. Derogar los siguientes artículos que establecen obligaciones para la Administración Distrital, relacionadas con la presentación periódica de informes del avance en el cumplimiento de los Acuerdos Distritales (2019-2024):</w:t>
            </w:r>
          </w:p>
          <w:p w:rsidR="00350C15" w:rsidRPr="0008579D" w:rsidRDefault="00350C15" w:rsidP="0008579D">
            <w:pPr>
              <w:jc w:val="center"/>
              <w:rPr>
                <w:sz w:val="22"/>
                <w:szCs w:val="22"/>
              </w:rPr>
            </w:pPr>
          </w:p>
          <w:p w:rsidR="00350C15" w:rsidRPr="0008579D" w:rsidRDefault="005E027A" w:rsidP="0008579D">
            <w:pPr>
              <w:jc w:val="center"/>
              <w:rPr>
                <w:color w:val="1F497D"/>
                <w:sz w:val="22"/>
                <w:szCs w:val="22"/>
              </w:rPr>
            </w:pPr>
            <w:r w:rsidRPr="0008579D">
              <w:rPr>
                <w:color w:val="1F497D"/>
                <w:sz w:val="22"/>
                <w:szCs w:val="22"/>
              </w:rPr>
              <w:t>(Cuadro de derogatorias)</w:t>
            </w:r>
          </w:p>
          <w:p w:rsidR="00350C15" w:rsidRPr="0008579D" w:rsidRDefault="005E027A" w:rsidP="0008579D">
            <w:pPr>
              <w:numPr>
                <w:ilvl w:val="1"/>
                <w:numId w:val="1"/>
              </w:numPr>
              <w:pBdr>
                <w:top w:val="nil"/>
                <w:left w:val="nil"/>
                <w:bottom w:val="nil"/>
                <w:right w:val="nil"/>
                <w:between w:val="nil"/>
              </w:pBdr>
              <w:spacing w:before="280" w:after="280"/>
              <w:jc w:val="both"/>
              <w:rPr>
                <w:rFonts w:eastAsia="Quattrocento Sans"/>
                <w:sz w:val="22"/>
                <w:szCs w:val="22"/>
              </w:rPr>
            </w:pPr>
            <w:r w:rsidRPr="0008579D">
              <w:rPr>
                <w:rFonts w:eastAsia="Quattrocento Sans"/>
                <w:sz w:val="22"/>
                <w:szCs w:val="22"/>
              </w:rPr>
              <w:t>Observatorio de Cumplimiento Normativo “Alfonso López Michelsen”. Créese al interior de la Secretaría Distrital de Gobierno (Dirección de Relaciones Políticas o quien haga sus veces) en un plazo de 6 meses, y con el apoyo de la Alta Consejería Distrital de TIC, un mecanismo que permita compilar los Acuerdos Distritales vigentes, hacerles seguimiento, generar y sistematizar informes de cumplimiento de manera estandarizada, emitir recomendaciones respecto a la implementación normativa, fortalecer el control social y político, y promover la transparencia, el acceso a la información pública y la rendición de cuentas.</w:t>
            </w:r>
          </w:p>
          <w:p w:rsidR="00350C15" w:rsidRPr="0008579D" w:rsidRDefault="005E027A" w:rsidP="0008579D">
            <w:pPr>
              <w:spacing w:before="280" w:after="280"/>
              <w:jc w:val="both"/>
              <w:rPr>
                <w:rFonts w:eastAsia="Times New Roman"/>
              </w:rPr>
            </w:pPr>
            <w:r w:rsidRPr="0008579D">
              <w:rPr>
                <w:rFonts w:eastAsia="Quattrocento Sans"/>
                <w:b/>
                <w:sz w:val="22"/>
                <w:szCs w:val="22"/>
              </w:rPr>
              <w:t xml:space="preserve">Parágrafo 1. </w:t>
            </w:r>
            <w:r w:rsidRPr="0008579D">
              <w:rPr>
                <w:rFonts w:eastAsia="Quattrocento Sans"/>
                <w:sz w:val="22"/>
                <w:szCs w:val="22"/>
              </w:rPr>
              <w:t xml:space="preserve">Una vez entre en vigencia el presente Acuerdo, en un plazo no superior a 2 meses, las entidades responsables de la presentación de los informes previstos en los artículos derogados deberán enviar </w:t>
            </w:r>
            <w:r w:rsidRPr="0008579D">
              <w:rPr>
                <w:rFonts w:eastAsia="Quattrocento Sans"/>
                <w:sz w:val="22"/>
                <w:szCs w:val="22"/>
              </w:rPr>
              <w:lastRenderedPageBreak/>
              <w:t>a la Secretaría de Gobierno (Dirección de Relaciones Políticas o quien haga sus veces) en medio digital los informes presentados a la fecha, junto con una síntesis de la implementación del respectivo Acuerdo. De ahí en adelante presentarán un informe anual de los artículos en cuestión.</w:t>
            </w:r>
          </w:p>
          <w:p w:rsidR="00350C15" w:rsidRPr="0008579D" w:rsidRDefault="005E027A" w:rsidP="0008579D">
            <w:pPr>
              <w:spacing w:before="280" w:after="280"/>
              <w:jc w:val="both"/>
              <w:rPr>
                <w:rFonts w:eastAsia="Times New Roman"/>
              </w:rPr>
            </w:pPr>
            <w:r w:rsidRPr="0008579D">
              <w:rPr>
                <w:rFonts w:eastAsia="Quattrocento Sans"/>
                <w:b/>
                <w:sz w:val="22"/>
                <w:szCs w:val="22"/>
              </w:rPr>
              <w:t xml:space="preserve">Parágrafo 2. </w:t>
            </w:r>
            <w:r w:rsidRPr="0008579D">
              <w:rPr>
                <w:rFonts w:eastAsia="Quattrocento Sans"/>
                <w:sz w:val="22"/>
                <w:szCs w:val="22"/>
              </w:rPr>
              <w:t>El secretario de Gobierno presentará al Concejo de Bogotá, antes de clausurarse el cuarto período de sesiones ordinarias correspondientes al mes de noviembre de cada año, un informe consolidado de cumplimiento normativo.  </w:t>
            </w:r>
          </w:p>
          <w:p w:rsidR="00350C15" w:rsidRPr="0008579D" w:rsidRDefault="005E027A" w:rsidP="0008579D">
            <w:pPr>
              <w:rPr>
                <w:sz w:val="22"/>
                <w:szCs w:val="22"/>
              </w:rPr>
            </w:pPr>
            <w:r w:rsidRPr="0008579D">
              <w:rPr>
                <w:rFonts w:eastAsia="Quattrocento Sans"/>
                <w:b/>
                <w:sz w:val="22"/>
                <w:szCs w:val="22"/>
              </w:rPr>
              <w:t>Parágrafo 3.</w:t>
            </w:r>
            <w:r w:rsidRPr="0008579D">
              <w:rPr>
                <w:rFonts w:eastAsia="Quattrocento Sans"/>
                <w:sz w:val="22"/>
                <w:szCs w:val="22"/>
              </w:rPr>
              <w:t xml:space="preserve"> Las entidades distritales deberán designar un enlace, quien actuará como interlocutor ante el Observatorio.</w:t>
            </w:r>
          </w:p>
        </w:tc>
        <w:tc>
          <w:tcPr>
            <w:tcW w:w="4415" w:type="dxa"/>
          </w:tcPr>
          <w:p w:rsidR="00350C15" w:rsidRDefault="005E027A" w:rsidP="0008579D">
            <w:pPr>
              <w:jc w:val="center"/>
              <w:rPr>
                <w:sz w:val="22"/>
                <w:szCs w:val="22"/>
              </w:rPr>
            </w:pPr>
            <w:r>
              <w:rPr>
                <w:sz w:val="22"/>
                <w:szCs w:val="22"/>
              </w:rPr>
              <w:lastRenderedPageBreak/>
              <w:t>Artículo 3. Lineamientos. La racionalización normativa de la que trata el presente Acuerdo requiere de la implementación, cuando menos, de las siguientes directrices:</w:t>
            </w:r>
          </w:p>
          <w:p w:rsidR="00350C15" w:rsidRDefault="00350C15" w:rsidP="0008579D">
            <w:pPr>
              <w:jc w:val="center"/>
              <w:rPr>
                <w:sz w:val="22"/>
                <w:szCs w:val="22"/>
              </w:rPr>
            </w:pPr>
          </w:p>
          <w:p w:rsidR="00350C15" w:rsidRDefault="005E027A" w:rsidP="0008579D">
            <w:pPr>
              <w:numPr>
                <w:ilvl w:val="0"/>
                <w:numId w:val="7"/>
              </w:numPr>
              <w:pBdr>
                <w:top w:val="nil"/>
                <w:left w:val="nil"/>
                <w:bottom w:val="nil"/>
                <w:right w:val="nil"/>
                <w:between w:val="nil"/>
              </w:pBdr>
              <w:jc w:val="center"/>
              <w:rPr>
                <w:sz w:val="22"/>
                <w:szCs w:val="22"/>
              </w:rPr>
            </w:pPr>
            <w:r>
              <w:rPr>
                <w:color w:val="FF0000"/>
                <w:sz w:val="22"/>
                <w:szCs w:val="22"/>
              </w:rPr>
              <w:t xml:space="preserve">En la formulación, discusión y aprobación de los acuerdos Distritales tanto de iniciativa de concejales como de la administración Distrital u otros autores que contempla la ley, se procurará no incluir la disposición de entregar informes y se remitirá al Observatorio de seguimiento que se crea en el presente acuerdo. </w:t>
            </w:r>
          </w:p>
          <w:p w:rsidR="00350C15" w:rsidRDefault="005E027A" w:rsidP="0008579D">
            <w:pPr>
              <w:numPr>
                <w:ilvl w:val="0"/>
                <w:numId w:val="7"/>
              </w:numPr>
              <w:pBdr>
                <w:top w:val="nil"/>
                <w:left w:val="nil"/>
                <w:bottom w:val="nil"/>
                <w:right w:val="nil"/>
                <w:between w:val="nil"/>
              </w:pBdr>
              <w:jc w:val="center"/>
              <w:rPr>
                <w:sz w:val="22"/>
                <w:szCs w:val="22"/>
              </w:rPr>
            </w:pPr>
            <w:r>
              <w:rPr>
                <w:color w:val="FF0000"/>
                <w:sz w:val="22"/>
                <w:szCs w:val="22"/>
              </w:rPr>
              <w:t xml:space="preserve">La información sobre la inversión e implementación de las normas expedidas por el Concejo de Bogotá no sólo contará con la publicidad hacia la ciudadanía por parte de las entidades encargadas, sino que deberá actualizarse año a año con los acuerdos sancionados, a cargo de la Dirección de Relaciones Políticas de la Secretaría de Gobierno o quien haga sus veces. </w:t>
            </w:r>
          </w:p>
          <w:p w:rsidR="00350C15" w:rsidRDefault="005E027A" w:rsidP="0008579D">
            <w:pPr>
              <w:numPr>
                <w:ilvl w:val="0"/>
                <w:numId w:val="7"/>
              </w:numPr>
              <w:pBdr>
                <w:top w:val="nil"/>
                <w:left w:val="nil"/>
                <w:bottom w:val="nil"/>
                <w:right w:val="nil"/>
                <w:between w:val="nil"/>
              </w:pBdr>
              <w:jc w:val="center"/>
              <w:rPr>
                <w:sz w:val="22"/>
                <w:szCs w:val="22"/>
              </w:rPr>
            </w:pPr>
            <w:r>
              <w:rPr>
                <w:color w:val="FF0000"/>
                <w:sz w:val="22"/>
                <w:szCs w:val="22"/>
              </w:rPr>
              <w:t xml:space="preserve">Se deberá disponer de mecanismos de seguimiento públicos tanto para los concejales como para los ciudadanos y organismos de control. </w:t>
            </w:r>
          </w:p>
          <w:p w:rsidR="00350C15" w:rsidRDefault="005E027A" w:rsidP="0008579D">
            <w:pPr>
              <w:numPr>
                <w:ilvl w:val="0"/>
                <w:numId w:val="7"/>
              </w:numPr>
              <w:pBdr>
                <w:top w:val="nil"/>
                <w:left w:val="nil"/>
                <w:bottom w:val="nil"/>
                <w:right w:val="nil"/>
                <w:between w:val="nil"/>
              </w:pBdr>
              <w:jc w:val="center"/>
              <w:rPr>
                <w:sz w:val="22"/>
                <w:szCs w:val="22"/>
              </w:rPr>
            </w:pPr>
            <w:r>
              <w:rPr>
                <w:color w:val="FF0000"/>
                <w:sz w:val="22"/>
                <w:szCs w:val="22"/>
              </w:rPr>
              <w:t>La información sobre el cumplimiento de los acuerdos adoptados por el Distrito Capital deberá ser pública.</w:t>
            </w:r>
          </w:p>
        </w:tc>
      </w:tr>
      <w:tr w:rsidR="00350C15">
        <w:tc>
          <w:tcPr>
            <w:tcW w:w="4415" w:type="dxa"/>
          </w:tcPr>
          <w:p w:rsidR="00350C15" w:rsidRDefault="005E027A" w:rsidP="0008579D">
            <w:pPr>
              <w:jc w:val="center"/>
              <w:rPr>
                <w:sz w:val="22"/>
                <w:szCs w:val="22"/>
              </w:rPr>
            </w:pPr>
            <w:r>
              <w:rPr>
                <w:sz w:val="22"/>
                <w:szCs w:val="22"/>
              </w:rPr>
              <w:lastRenderedPageBreak/>
              <w:t>.</w:t>
            </w:r>
          </w:p>
        </w:tc>
        <w:tc>
          <w:tcPr>
            <w:tcW w:w="4415" w:type="dxa"/>
          </w:tcPr>
          <w:p w:rsidR="00350C15" w:rsidRDefault="00350C15" w:rsidP="0008579D">
            <w:pPr>
              <w:jc w:val="center"/>
              <w:rPr>
                <w:sz w:val="22"/>
                <w:szCs w:val="22"/>
              </w:rPr>
            </w:pPr>
          </w:p>
          <w:p w:rsidR="00350C15" w:rsidRDefault="005E027A" w:rsidP="0008579D">
            <w:pPr>
              <w:jc w:val="center"/>
              <w:rPr>
                <w:color w:val="FF0000"/>
                <w:sz w:val="22"/>
                <w:szCs w:val="22"/>
              </w:rPr>
            </w:pPr>
            <w:r>
              <w:rPr>
                <w:color w:val="FF0000"/>
                <w:sz w:val="22"/>
                <w:szCs w:val="22"/>
              </w:rPr>
              <w:t>Artículo nuevo</w:t>
            </w:r>
          </w:p>
          <w:p w:rsidR="00350C15" w:rsidRDefault="00350C15" w:rsidP="0008579D">
            <w:pPr>
              <w:jc w:val="center"/>
              <w:rPr>
                <w:sz w:val="22"/>
                <w:szCs w:val="22"/>
              </w:rPr>
            </w:pPr>
          </w:p>
          <w:p w:rsidR="00350C15" w:rsidRDefault="005E027A" w:rsidP="0008579D">
            <w:pPr>
              <w:jc w:val="center"/>
              <w:rPr>
                <w:sz w:val="22"/>
                <w:szCs w:val="22"/>
              </w:rPr>
            </w:pPr>
            <w:r>
              <w:rPr>
                <w:sz w:val="22"/>
                <w:szCs w:val="22"/>
              </w:rPr>
              <w:t xml:space="preserve">Artículo 4. Observatorio de Cumplimiento Normativo “Alfonso López Michelsen”. Créase al interior de la Secretaría Distrital de Gobierno (Dirección de Relaciones Políticas o quien haga sus veces) en un plazo de </w:t>
            </w:r>
            <w:r>
              <w:rPr>
                <w:color w:val="FF0000"/>
                <w:sz w:val="22"/>
                <w:szCs w:val="22"/>
              </w:rPr>
              <w:t xml:space="preserve">12 </w:t>
            </w:r>
            <w:r>
              <w:rPr>
                <w:sz w:val="22"/>
                <w:szCs w:val="22"/>
              </w:rPr>
              <w:t xml:space="preserve">meses, </w:t>
            </w:r>
            <w:r>
              <w:rPr>
                <w:color w:val="FF0000"/>
                <w:sz w:val="22"/>
                <w:szCs w:val="22"/>
              </w:rPr>
              <w:t>con el apoyo de la Secretaría Distrital de Planeación</w:t>
            </w:r>
            <w:r>
              <w:rPr>
                <w:sz w:val="22"/>
                <w:szCs w:val="22"/>
              </w:rPr>
              <w:t xml:space="preserve"> </w:t>
            </w:r>
            <w:r>
              <w:rPr>
                <w:color w:val="FF0000"/>
                <w:sz w:val="22"/>
                <w:szCs w:val="22"/>
              </w:rPr>
              <w:t>y la orientación de la Secretaría Jurídica Distrital y, teniendo como base la información producida a través de los sistemas de seguimiento de políticas y planes distritales</w:t>
            </w:r>
            <w:r>
              <w:rPr>
                <w:sz w:val="22"/>
                <w:szCs w:val="22"/>
              </w:rPr>
              <w:t>, un mecanismo que permita compilar los Acuerdos Distritales vigentes, hacerles seguimiento, generar y sistematizar informes de cumplimiento de manera estandarizada, emitir recomendaciones respecto a la implementación normativa, fortalecer el control social y político, y promover la transparencia, el acceso a la información pública y la rendición de cuentas.</w:t>
            </w:r>
          </w:p>
          <w:p w:rsidR="00350C15" w:rsidRDefault="005E027A" w:rsidP="0008579D">
            <w:pPr>
              <w:jc w:val="center"/>
              <w:rPr>
                <w:color w:val="FF0000"/>
                <w:sz w:val="22"/>
                <w:szCs w:val="22"/>
              </w:rPr>
            </w:pPr>
            <w:r>
              <w:rPr>
                <w:sz w:val="22"/>
                <w:szCs w:val="22"/>
              </w:rPr>
              <w:lastRenderedPageBreak/>
              <w:t xml:space="preserve">Parágrafo 1. Una vez entre en vigencia el presente Acuerdo, en un plazo no superior a </w:t>
            </w:r>
            <w:r>
              <w:rPr>
                <w:color w:val="FF0000"/>
                <w:sz w:val="22"/>
                <w:szCs w:val="22"/>
              </w:rPr>
              <w:t>12</w:t>
            </w:r>
            <w:r>
              <w:rPr>
                <w:sz w:val="22"/>
                <w:szCs w:val="22"/>
              </w:rPr>
              <w:t xml:space="preserve"> meses, las entidades  </w:t>
            </w:r>
            <w:r>
              <w:rPr>
                <w:color w:val="FF0000"/>
                <w:sz w:val="22"/>
                <w:szCs w:val="22"/>
              </w:rPr>
              <w:t>definidas en el presente artículo</w:t>
            </w:r>
            <w:r>
              <w:rPr>
                <w:sz w:val="22"/>
                <w:szCs w:val="22"/>
              </w:rPr>
              <w:t xml:space="preserve"> deberán</w:t>
            </w:r>
            <w:r>
              <w:rPr>
                <w:color w:val="FF0000"/>
                <w:sz w:val="22"/>
                <w:szCs w:val="22"/>
              </w:rPr>
              <w:t xml:space="preserve"> categorizar la información sobre los acuerdos aprobados para crear un metadato a partir de los sistemas de seguimiento a políticas públicas y planes de desarrollo Distrital que se encuentren vigentes.</w:t>
            </w:r>
          </w:p>
          <w:p w:rsidR="00350C15" w:rsidRDefault="005E027A" w:rsidP="0008579D">
            <w:pPr>
              <w:jc w:val="center"/>
              <w:rPr>
                <w:sz w:val="22"/>
                <w:szCs w:val="22"/>
              </w:rPr>
            </w:pPr>
            <w:r>
              <w:rPr>
                <w:color w:val="FF0000"/>
                <w:sz w:val="22"/>
                <w:szCs w:val="22"/>
              </w:rPr>
              <w:t>Parágrafo 2. El primer mes de cada año, la Dirección de Relaciones Políticas o quien haga sus veces deberá remitir una certificación al Concejo de Bogotá sobre la actualización del observatorio, presentando sus principales avances y especificando la forma de consulta pública.</w:t>
            </w:r>
          </w:p>
        </w:tc>
      </w:tr>
      <w:tr w:rsidR="00350C15">
        <w:tc>
          <w:tcPr>
            <w:tcW w:w="4415" w:type="dxa"/>
          </w:tcPr>
          <w:p w:rsidR="00350C15" w:rsidRDefault="005E027A" w:rsidP="0008579D">
            <w:pPr>
              <w:jc w:val="center"/>
              <w:rPr>
                <w:sz w:val="22"/>
                <w:szCs w:val="22"/>
              </w:rPr>
            </w:pPr>
            <w:r>
              <w:rPr>
                <w:sz w:val="22"/>
                <w:szCs w:val="22"/>
              </w:rPr>
              <w:lastRenderedPageBreak/>
              <w:t>Artículo 4. Proceso de racionalización normativa. La Secretaría de Gobierno, a través de la Dirección de Relaciones Políticas o quien haga sus veces, presentará al Concejo Distrital en un término de 6 meses un proyecto de racionalización normativa que haga más efectivo el ejercicio de la función normativa del Concejo de la ciudad y facilite el cumplimiento por parte de la administración.</w:t>
            </w:r>
          </w:p>
        </w:tc>
        <w:tc>
          <w:tcPr>
            <w:tcW w:w="4415" w:type="dxa"/>
          </w:tcPr>
          <w:p w:rsidR="00350C15" w:rsidRDefault="005E027A" w:rsidP="0008579D">
            <w:pPr>
              <w:jc w:val="center"/>
              <w:rPr>
                <w:sz w:val="22"/>
                <w:szCs w:val="22"/>
              </w:rPr>
            </w:pPr>
            <w:r>
              <w:rPr>
                <w:color w:val="FF0000"/>
                <w:sz w:val="22"/>
                <w:szCs w:val="22"/>
              </w:rPr>
              <w:t>Artículo 5</w:t>
            </w:r>
            <w:r>
              <w:rPr>
                <w:sz w:val="22"/>
                <w:szCs w:val="22"/>
              </w:rPr>
              <w:t>. Proceso de racionalización normativa. La Secretaría de Gobierno, a través de la Dirección de Relaciones Políticas o quien haga sus veces, presentará al Concejo Distrital en un término de 6 meses un proyecto de racionalización normativa que haga más efectivo el ejercicio de la función normativa del Concejo de la ciudad y facilite el cumplimiento por parte de la administración</w:t>
            </w:r>
            <w:r>
              <w:rPr>
                <w:color w:val="FF0000"/>
                <w:sz w:val="22"/>
                <w:szCs w:val="22"/>
              </w:rPr>
              <w:t>, teniendo en cuenta los informe a los que se encuentran obligados.</w:t>
            </w:r>
          </w:p>
        </w:tc>
      </w:tr>
      <w:tr w:rsidR="00350C15">
        <w:tc>
          <w:tcPr>
            <w:tcW w:w="4415" w:type="dxa"/>
          </w:tcPr>
          <w:p w:rsidR="00350C15" w:rsidRDefault="00350C15" w:rsidP="0008579D">
            <w:pPr>
              <w:jc w:val="center"/>
              <w:rPr>
                <w:sz w:val="22"/>
                <w:szCs w:val="22"/>
              </w:rPr>
            </w:pPr>
          </w:p>
        </w:tc>
        <w:tc>
          <w:tcPr>
            <w:tcW w:w="4415" w:type="dxa"/>
          </w:tcPr>
          <w:p w:rsidR="00350C15" w:rsidRDefault="005E027A" w:rsidP="0008579D">
            <w:pPr>
              <w:jc w:val="center"/>
              <w:rPr>
                <w:color w:val="FF0000"/>
                <w:sz w:val="22"/>
                <w:szCs w:val="22"/>
              </w:rPr>
            </w:pPr>
            <w:r>
              <w:rPr>
                <w:color w:val="FF0000"/>
                <w:sz w:val="22"/>
                <w:szCs w:val="22"/>
              </w:rPr>
              <w:t>Artículo 6. Publicidad del contenido del presente Acuerdo. Teniendo en cuenta el impacto que se genera al interior de las entidades a cargo de los informes obligatorios, el contenido del presente informe deberá presentarse y socializarse con cada una de las entidades responsables, con el fin de que se coordine la información con la DRP y la SDP o quienes hagan sus veces.</w:t>
            </w:r>
          </w:p>
        </w:tc>
      </w:tr>
      <w:tr w:rsidR="00350C15">
        <w:tc>
          <w:tcPr>
            <w:tcW w:w="4415" w:type="dxa"/>
          </w:tcPr>
          <w:p w:rsidR="00350C15" w:rsidRDefault="005E027A" w:rsidP="0008579D">
            <w:pPr>
              <w:jc w:val="center"/>
              <w:rPr>
                <w:sz w:val="22"/>
                <w:szCs w:val="22"/>
              </w:rPr>
            </w:pPr>
            <w:r>
              <w:rPr>
                <w:sz w:val="22"/>
                <w:szCs w:val="22"/>
              </w:rPr>
              <w:t>Artículo 5. Vigencia. El presente acuerdo rige a partir de la fecha de su publicación.</w:t>
            </w:r>
          </w:p>
        </w:tc>
        <w:tc>
          <w:tcPr>
            <w:tcW w:w="4415" w:type="dxa"/>
          </w:tcPr>
          <w:p w:rsidR="00350C15" w:rsidRDefault="005E027A" w:rsidP="0008579D">
            <w:pPr>
              <w:jc w:val="center"/>
              <w:rPr>
                <w:color w:val="FF0000"/>
                <w:sz w:val="22"/>
                <w:szCs w:val="22"/>
              </w:rPr>
            </w:pPr>
            <w:r>
              <w:rPr>
                <w:b/>
                <w:color w:val="FF0000"/>
                <w:sz w:val="22"/>
                <w:szCs w:val="22"/>
              </w:rPr>
              <w:t>Artículo 7. Vigencias y derogatorias</w:t>
            </w:r>
            <w:r>
              <w:rPr>
                <w:b/>
                <w:sz w:val="22"/>
                <w:szCs w:val="22"/>
              </w:rPr>
              <w:t xml:space="preserve">. </w:t>
            </w:r>
            <w:r>
              <w:rPr>
                <w:sz w:val="22"/>
                <w:szCs w:val="22"/>
              </w:rPr>
              <w:t>El presente acuerdo rige a partir de la fecha de su publicación</w:t>
            </w:r>
            <w:r>
              <w:rPr>
                <w:color w:val="FF0000"/>
                <w:sz w:val="22"/>
                <w:szCs w:val="22"/>
              </w:rPr>
              <w:t xml:space="preserve"> y deroga las </w:t>
            </w:r>
            <w:r>
              <w:rPr>
                <w:color w:val="FF0000"/>
                <w:sz w:val="22"/>
                <w:szCs w:val="22"/>
              </w:rPr>
              <w:lastRenderedPageBreak/>
              <w:t xml:space="preserve">disposiciones contenidas especialmente  en el artículo 4 del Acuerdo 737 de 2019, Artículo 3 del Acuerdo 738 de 2019, artículo 3 del Acuerdo 739 de 2019, artículo 3 del Acuerdo 742 de 2019, artículo 3 del Acuerdo 743 de 2019, artículo 4 del acuerdo 751 de 2019, artículo 8 del acuerdo 752 de 2019, artículo 10 del acuerdo 757 de 2019, Artículo 8 del acuerdo 760 de 2020, artículo 16 del acuerdo 765 de 2020, artículo 4 del acuerdo 766 de 2020, artículo 4 del acuerdo 769 de 2020, artículo 4 del acuerdo 772 de 2020, artículo 4 del acuerdo 777 de 2020, artículo 8 del acuerdo 780 de 2020, artículo 9 del acuerdo 790 de 2020, artículo 8 del acuerdo 792 de 2020, artículo 5 del acuerdo 798 de 2021, artículo 7 del acuerdo 800 de 2021, artículo 5 del acuerdo 804 de 2021, artículo 10 del acuerdo 808 de 2021, artículo 8 del acuerdo 813 de 2021, artículo 6 del acuerdo 817 de 2021, artículo 5 del acuerdo 819 de 2021, artículo 6 del acuerdo 821 de 2021, artículo 9 del acuerdo 828 de 2021, artículo 4 del acuerdo 835 de 2022, artículo 20 del acuerdo 841 de 2022, artículo 5 del acuerdo 846 de 2022, artículo 12 del acuerdo 847 de 2022, artículo 8 del acuerdo 850 de 2022, artículo 7 del acuerdo 854 de 2022, artículo 12 del acuerdo 864 de 2022, artículo 8 del acuerdo 866 de 2023, artículo 5 del acuerdo 867 de 2023, artículo 10 del acuerdo 875 de 2023, artículo 6 del acuerdo 876 de 2023, artículo 5 del acuerdo 877 de 2023,   artículo 10 del acuerdo 880 de 2023, artículo 5 del acuerdo 883 de 2023, artículo 5 del acuerdo 885 de 2023, artículo 7 del acuerdo 887 de 2023, </w:t>
            </w:r>
            <w:r>
              <w:rPr>
                <w:color w:val="FF0000"/>
                <w:sz w:val="22"/>
                <w:szCs w:val="22"/>
              </w:rPr>
              <w:lastRenderedPageBreak/>
              <w:t>artículo 15 del acuerdo 888 de 2023, artículo18 del acuerdo 893 de 2023, artículo 7 del acuerdo 894 de 2023, artículo 5  del acuerdo 895 de 2023, artículo 22 del acuerdo 897 de 2023, artículo 9 del acuerdo 900 de 2023, artículo 5 del acuerdo 905 de 2023,  artículo 5 del acuerdo 909 de 2023, artículo 6 del acuerdo 911 de 2023, artículo 54 del acuerdo 915 de 2023, artículo 9 del acuerdo 916 de 2023, artículo 3 del acuerdo 917 de 2023, artículo 10 del acuerdo 921 de 2023,  artículo 4 del acuerdo 922 de 2023,  artículo 7 del acuerdo 925 de 2023, artículo 5 del acuerdo 926 de 2023, artículo 4 del acuerdo 934 de 2024, artículo 9 del acuerdo 939 de 2024, artículo 5 del acuerdo 941 de 2024, artículo 6 del acuerdo 944 de 2024, artículo 4 del acuerdo 948 de 2024, artículo 8 del acuerdo 951 de 2024, artículo 16 del acuerdo 952 de 2024, artículo 9 del acuerdo 956 de 2024, artículo 6 del acuerdo 957 de 2024, artículo 6 del acuerdo 958 de 2024, artículo 8 del acuerdo 962 de 2024, artículo 7 del acuerdo 963 de 2024, artículo 6 del acuerdo 964 de 2024, artículo 8 del acuerdo 966 de 2024, artículo 5 del acuerdo 968 de 2024.</w:t>
            </w:r>
          </w:p>
          <w:p w:rsidR="00350C15" w:rsidRDefault="00350C15" w:rsidP="0008579D">
            <w:pPr>
              <w:jc w:val="center"/>
              <w:rPr>
                <w:color w:val="FF0000"/>
                <w:sz w:val="22"/>
                <w:szCs w:val="22"/>
              </w:rPr>
            </w:pPr>
          </w:p>
        </w:tc>
      </w:tr>
    </w:tbl>
    <w:p w:rsidR="00350C15" w:rsidRDefault="00350C15" w:rsidP="0008579D">
      <w:pPr>
        <w:jc w:val="both"/>
        <w:rPr>
          <w:b/>
          <w:sz w:val="22"/>
          <w:szCs w:val="22"/>
        </w:rPr>
      </w:pPr>
    </w:p>
    <w:p w:rsidR="00350C15" w:rsidRDefault="00350C15"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08579D" w:rsidRDefault="0008579D" w:rsidP="0008579D">
      <w:pPr>
        <w:jc w:val="center"/>
        <w:rPr>
          <w:b/>
          <w:sz w:val="22"/>
          <w:szCs w:val="22"/>
        </w:rPr>
      </w:pPr>
    </w:p>
    <w:p w:rsidR="00350C15" w:rsidRDefault="005E027A" w:rsidP="0008579D">
      <w:pPr>
        <w:jc w:val="center"/>
        <w:rPr>
          <w:b/>
          <w:sz w:val="22"/>
          <w:szCs w:val="22"/>
        </w:rPr>
      </w:pPr>
      <w:r>
        <w:rPr>
          <w:b/>
          <w:sz w:val="22"/>
          <w:szCs w:val="22"/>
        </w:rPr>
        <w:t>ARTICULADO CON MODIFICACIONES</w:t>
      </w:r>
    </w:p>
    <w:p w:rsidR="00350C15" w:rsidRDefault="00350C15" w:rsidP="0008579D">
      <w:pPr>
        <w:jc w:val="center"/>
        <w:rPr>
          <w:b/>
          <w:sz w:val="22"/>
          <w:szCs w:val="22"/>
        </w:rPr>
      </w:pPr>
    </w:p>
    <w:p w:rsidR="00350C15" w:rsidRDefault="0008579D" w:rsidP="0008579D">
      <w:pPr>
        <w:jc w:val="center"/>
        <w:rPr>
          <w:b/>
          <w:sz w:val="22"/>
          <w:szCs w:val="22"/>
        </w:rPr>
      </w:pPr>
      <w:r>
        <w:rPr>
          <w:b/>
          <w:sz w:val="22"/>
          <w:szCs w:val="22"/>
        </w:rPr>
        <w:t>PROYECTO DE ACUERDO N. 443</w:t>
      </w:r>
      <w:r w:rsidR="005E027A">
        <w:rPr>
          <w:b/>
          <w:sz w:val="22"/>
          <w:szCs w:val="22"/>
        </w:rPr>
        <w:t xml:space="preserve"> DE 2025</w:t>
      </w:r>
    </w:p>
    <w:p w:rsidR="00350C15" w:rsidRDefault="00350C15" w:rsidP="0008579D">
      <w:pPr>
        <w:jc w:val="center"/>
        <w:rPr>
          <w:b/>
          <w:sz w:val="22"/>
          <w:szCs w:val="22"/>
        </w:rPr>
      </w:pPr>
    </w:p>
    <w:p w:rsidR="00350C15" w:rsidRDefault="005E027A" w:rsidP="0008579D">
      <w:pPr>
        <w:jc w:val="center"/>
        <w:rPr>
          <w:sz w:val="22"/>
          <w:szCs w:val="22"/>
        </w:rPr>
      </w:pPr>
      <w:r>
        <w:rPr>
          <w:sz w:val="22"/>
          <w:szCs w:val="22"/>
        </w:rPr>
        <w:t>Por medio del cual se establecen lineamientos para la racionalización normativa de los Acuerdos del Concejo de Bogotá, se crea el Observatorio de Seguimiento y Evaluación de Cumplimiento Normativo (“Alfonso López Michelsen”)</w:t>
      </w:r>
      <w:r>
        <w:rPr>
          <w:i/>
          <w:sz w:val="22"/>
          <w:szCs w:val="22"/>
        </w:rPr>
        <w:t xml:space="preserve"> </w:t>
      </w:r>
      <w:r>
        <w:rPr>
          <w:sz w:val="22"/>
          <w:szCs w:val="22"/>
        </w:rPr>
        <w:t>en Bogotá D.C</w:t>
      </w:r>
      <w:r>
        <w:rPr>
          <w:color w:val="FF0000"/>
          <w:sz w:val="22"/>
          <w:szCs w:val="22"/>
        </w:rPr>
        <w:t>. y se dictan otras disposiciones</w:t>
      </w:r>
      <w:r>
        <w:rPr>
          <w:sz w:val="22"/>
          <w:szCs w:val="22"/>
        </w:rPr>
        <w:t>”</w:t>
      </w:r>
    </w:p>
    <w:p w:rsidR="00350C15" w:rsidRDefault="00350C15" w:rsidP="0008579D">
      <w:pPr>
        <w:jc w:val="center"/>
        <w:rPr>
          <w:sz w:val="22"/>
          <w:szCs w:val="22"/>
        </w:rPr>
      </w:pPr>
    </w:p>
    <w:p w:rsidR="00350C15" w:rsidRDefault="005E027A" w:rsidP="0008579D">
      <w:pPr>
        <w:jc w:val="center"/>
        <w:rPr>
          <w:b/>
          <w:sz w:val="22"/>
          <w:szCs w:val="22"/>
        </w:rPr>
      </w:pPr>
      <w:r>
        <w:rPr>
          <w:b/>
          <w:sz w:val="22"/>
          <w:szCs w:val="22"/>
        </w:rPr>
        <w:t>EL CONCEJO DE BOGOTÁ D.C.</w:t>
      </w:r>
    </w:p>
    <w:p w:rsidR="00350C15" w:rsidRDefault="005E027A" w:rsidP="0008579D">
      <w:pPr>
        <w:jc w:val="center"/>
        <w:rPr>
          <w:sz w:val="22"/>
          <w:szCs w:val="22"/>
        </w:rPr>
      </w:pPr>
      <w:r>
        <w:rPr>
          <w:sz w:val="22"/>
          <w:szCs w:val="22"/>
        </w:rPr>
        <w:t>En ejercicio de sus atribuciones constitucionales y legales, en especial de las conferidas por el numeral 1</w:t>
      </w:r>
      <w:r>
        <w:rPr>
          <w:sz w:val="22"/>
          <w:szCs w:val="22"/>
          <w:vertAlign w:val="superscript"/>
        </w:rPr>
        <w:t>o</w:t>
      </w:r>
      <w:r>
        <w:rPr>
          <w:sz w:val="22"/>
          <w:szCs w:val="22"/>
        </w:rPr>
        <w:t>del Artículo 12 del Decreto Ley 1421 de 1993,</w:t>
      </w:r>
    </w:p>
    <w:p w:rsidR="00350C15" w:rsidRDefault="00350C15" w:rsidP="0008579D">
      <w:pPr>
        <w:jc w:val="center"/>
        <w:rPr>
          <w:sz w:val="22"/>
          <w:szCs w:val="22"/>
        </w:rPr>
      </w:pPr>
    </w:p>
    <w:p w:rsidR="00350C15" w:rsidRDefault="005E027A" w:rsidP="0008579D">
      <w:pPr>
        <w:jc w:val="center"/>
        <w:rPr>
          <w:b/>
          <w:sz w:val="22"/>
          <w:szCs w:val="22"/>
        </w:rPr>
      </w:pPr>
      <w:r>
        <w:rPr>
          <w:b/>
          <w:sz w:val="22"/>
          <w:szCs w:val="22"/>
        </w:rPr>
        <w:t>ACUERDA:</w:t>
      </w:r>
    </w:p>
    <w:p w:rsidR="00350C15" w:rsidRDefault="00350C15" w:rsidP="0008579D">
      <w:pPr>
        <w:jc w:val="center"/>
        <w:rPr>
          <w:b/>
          <w:sz w:val="22"/>
          <w:szCs w:val="22"/>
        </w:rPr>
      </w:pPr>
    </w:p>
    <w:p w:rsidR="00350C15" w:rsidRDefault="005E027A" w:rsidP="0008579D">
      <w:pPr>
        <w:jc w:val="both"/>
        <w:rPr>
          <w:sz w:val="22"/>
          <w:szCs w:val="22"/>
        </w:rPr>
      </w:pPr>
      <w:r>
        <w:rPr>
          <w:b/>
          <w:sz w:val="22"/>
          <w:szCs w:val="22"/>
        </w:rPr>
        <w:t xml:space="preserve">Artículo 1. Objeto. </w:t>
      </w:r>
      <w:r>
        <w:rPr>
          <w:sz w:val="22"/>
          <w:szCs w:val="22"/>
        </w:rPr>
        <w:t xml:space="preserve">Establecer lineamientos para racionalizar las disposiciones contenidas en los Acuerdos del Concejo de Bogotá relacionadas con la presentación de informes periódicos de avance en el cumplimiento de estos, por parte de la administración de la ciudad, </w:t>
      </w:r>
      <w:r>
        <w:rPr>
          <w:color w:val="FF0000"/>
          <w:sz w:val="22"/>
          <w:szCs w:val="22"/>
        </w:rPr>
        <w:t>así como crear mecanismos de transparencia para la gestión normativa a partir de los criterios de eficiencia y eficacia.</w:t>
      </w:r>
    </w:p>
    <w:p w:rsidR="00350C15" w:rsidRDefault="00350C15" w:rsidP="0008579D">
      <w:pPr>
        <w:jc w:val="both"/>
        <w:rPr>
          <w:sz w:val="22"/>
          <w:szCs w:val="22"/>
        </w:rPr>
      </w:pPr>
    </w:p>
    <w:p w:rsidR="00350C15" w:rsidRDefault="005E027A" w:rsidP="0008579D">
      <w:pPr>
        <w:jc w:val="both"/>
        <w:rPr>
          <w:sz w:val="22"/>
          <w:szCs w:val="22"/>
        </w:rPr>
      </w:pPr>
      <w:r>
        <w:rPr>
          <w:b/>
          <w:sz w:val="22"/>
          <w:szCs w:val="22"/>
        </w:rPr>
        <w:t>Artículo 2. Principios.</w:t>
      </w:r>
      <w:r>
        <w:rPr>
          <w:sz w:val="22"/>
          <w:szCs w:val="22"/>
        </w:rPr>
        <w:t xml:space="preserve"> Las acciones que se realicen en el marco de esta iniciativa buscarán:</w:t>
      </w:r>
    </w:p>
    <w:p w:rsidR="00350C15" w:rsidRDefault="005E027A" w:rsidP="0008579D">
      <w:pPr>
        <w:ind w:left="1134"/>
        <w:jc w:val="both"/>
        <w:rPr>
          <w:sz w:val="22"/>
          <w:szCs w:val="22"/>
        </w:rPr>
      </w:pPr>
      <w:r>
        <w:rPr>
          <w:b/>
          <w:sz w:val="22"/>
          <w:szCs w:val="22"/>
        </w:rPr>
        <w:t>Eficiencia</w:t>
      </w:r>
      <w:r>
        <w:rPr>
          <w:sz w:val="22"/>
          <w:szCs w:val="22"/>
        </w:rPr>
        <w:t>: optimización de recursos humanos, técnicos y financieros.</w:t>
      </w:r>
    </w:p>
    <w:p w:rsidR="00350C15" w:rsidRDefault="005E027A" w:rsidP="0008579D">
      <w:pPr>
        <w:ind w:left="1134"/>
        <w:jc w:val="both"/>
        <w:rPr>
          <w:sz w:val="22"/>
          <w:szCs w:val="22"/>
        </w:rPr>
      </w:pPr>
      <w:r>
        <w:rPr>
          <w:b/>
          <w:sz w:val="22"/>
          <w:szCs w:val="22"/>
        </w:rPr>
        <w:t>Austeridad:</w:t>
      </w:r>
      <w:r>
        <w:rPr>
          <w:sz w:val="22"/>
          <w:szCs w:val="22"/>
        </w:rPr>
        <w:t xml:space="preserve"> eliminación de trámites innecesarios y reducción de cargas administrativas.</w:t>
      </w:r>
    </w:p>
    <w:p w:rsidR="00350C15" w:rsidRDefault="005E027A" w:rsidP="0008579D">
      <w:pPr>
        <w:ind w:left="1134"/>
        <w:jc w:val="both"/>
        <w:rPr>
          <w:sz w:val="22"/>
          <w:szCs w:val="22"/>
        </w:rPr>
      </w:pPr>
      <w:r>
        <w:rPr>
          <w:b/>
          <w:sz w:val="22"/>
          <w:szCs w:val="22"/>
        </w:rPr>
        <w:t>Transparencia</w:t>
      </w:r>
      <w:r>
        <w:rPr>
          <w:sz w:val="22"/>
          <w:szCs w:val="22"/>
        </w:rPr>
        <w:t>: acceso abierto, libre y público a la información.</w:t>
      </w:r>
    </w:p>
    <w:p w:rsidR="00350C15" w:rsidRDefault="00350C15" w:rsidP="0008579D">
      <w:pPr>
        <w:ind w:left="1134"/>
        <w:jc w:val="both"/>
        <w:rPr>
          <w:sz w:val="22"/>
          <w:szCs w:val="22"/>
        </w:rPr>
      </w:pPr>
    </w:p>
    <w:p w:rsidR="00350C15" w:rsidRDefault="005E027A" w:rsidP="0008579D">
      <w:pPr>
        <w:jc w:val="both"/>
        <w:rPr>
          <w:sz w:val="22"/>
          <w:szCs w:val="22"/>
        </w:rPr>
      </w:pPr>
      <w:r>
        <w:rPr>
          <w:b/>
          <w:sz w:val="22"/>
          <w:szCs w:val="22"/>
        </w:rPr>
        <w:t>Artículo 3. Lineamientos</w:t>
      </w:r>
      <w:r>
        <w:rPr>
          <w:sz w:val="22"/>
          <w:szCs w:val="22"/>
        </w:rPr>
        <w:t>. La racionalización normativa de la que trata el presente Acuerdo requiere de la implementación, cuando menos, de las siguientes directrices:</w:t>
      </w:r>
    </w:p>
    <w:p w:rsidR="00350C15" w:rsidRDefault="00350C15" w:rsidP="0008579D">
      <w:pPr>
        <w:jc w:val="both"/>
        <w:rPr>
          <w:sz w:val="22"/>
          <w:szCs w:val="22"/>
        </w:rPr>
      </w:pPr>
    </w:p>
    <w:p w:rsidR="00350C15" w:rsidRDefault="005E027A" w:rsidP="0008579D">
      <w:pPr>
        <w:numPr>
          <w:ilvl w:val="0"/>
          <w:numId w:val="7"/>
        </w:numPr>
        <w:jc w:val="both"/>
        <w:rPr>
          <w:sz w:val="22"/>
          <w:szCs w:val="22"/>
        </w:rPr>
      </w:pPr>
      <w:r>
        <w:rPr>
          <w:color w:val="FF0000"/>
          <w:sz w:val="22"/>
          <w:szCs w:val="22"/>
        </w:rPr>
        <w:t xml:space="preserve">En la formulación, discusión y aprobación de los acuerdos Distritales tanto de iniciativa de concejales como de la administración Distrital u otros autores que contempla la ley, se procurará no incluir la disposición de entregar informes y se remitirá al Observatorio de seguimiento que se crea en el presente acuerdo. </w:t>
      </w:r>
    </w:p>
    <w:p w:rsidR="00350C15" w:rsidRDefault="005E027A" w:rsidP="0008579D">
      <w:pPr>
        <w:numPr>
          <w:ilvl w:val="0"/>
          <w:numId w:val="7"/>
        </w:numPr>
        <w:jc w:val="both"/>
        <w:rPr>
          <w:sz w:val="22"/>
          <w:szCs w:val="22"/>
        </w:rPr>
      </w:pPr>
      <w:r>
        <w:rPr>
          <w:color w:val="FF0000"/>
          <w:sz w:val="22"/>
          <w:szCs w:val="22"/>
        </w:rPr>
        <w:t xml:space="preserve">La información sobre la inversión e implementación de las normas expedidas por el Concejo de Bogotá no sólo contará con la publicidad hacia la ciudadanía por parte de las entidades encargadas, sino que deberá actualizarse año a año con los </w:t>
      </w:r>
      <w:r>
        <w:rPr>
          <w:color w:val="FF0000"/>
          <w:sz w:val="22"/>
          <w:szCs w:val="22"/>
        </w:rPr>
        <w:lastRenderedPageBreak/>
        <w:t xml:space="preserve">acuerdos sancionados, a cargo de la Dirección de Relaciones Políticas de la Secretaría de Gobierno o quien haga sus veces. </w:t>
      </w:r>
    </w:p>
    <w:p w:rsidR="00350C15" w:rsidRDefault="005E027A" w:rsidP="0008579D">
      <w:pPr>
        <w:numPr>
          <w:ilvl w:val="0"/>
          <w:numId w:val="7"/>
        </w:numPr>
        <w:jc w:val="both"/>
        <w:rPr>
          <w:sz w:val="22"/>
          <w:szCs w:val="22"/>
        </w:rPr>
      </w:pPr>
      <w:r>
        <w:rPr>
          <w:color w:val="FF0000"/>
          <w:sz w:val="22"/>
          <w:szCs w:val="22"/>
        </w:rPr>
        <w:t xml:space="preserve">Se deberá disponer de mecanismos de seguimiento públicos tanto para los concejales como para los ciudadanos y organismos de control. </w:t>
      </w:r>
    </w:p>
    <w:p w:rsidR="00350C15" w:rsidRDefault="005E027A" w:rsidP="0008579D">
      <w:pPr>
        <w:numPr>
          <w:ilvl w:val="0"/>
          <w:numId w:val="7"/>
        </w:numPr>
        <w:jc w:val="both"/>
        <w:rPr>
          <w:sz w:val="22"/>
          <w:szCs w:val="22"/>
        </w:rPr>
      </w:pPr>
      <w:r>
        <w:rPr>
          <w:color w:val="FF0000"/>
          <w:sz w:val="22"/>
          <w:szCs w:val="22"/>
        </w:rPr>
        <w:t>La información sobre el cumplimiento de los acuerdos adoptados por el Distrito Capital deberá ser pública.</w:t>
      </w:r>
    </w:p>
    <w:p w:rsidR="00350C15" w:rsidRDefault="00350C15" w:rsidP="0008579D">
      <w:pPr>
        <w:jc w:val="both"/>
        <w:rPr>
          <w:b/>
          <w:sz w:val="22"/>
          <w:szCs w:val="22"/>
        </w:rPr>
      </w:pPr>
    </w:p>
    <w:p w:rsidR="00350C15" w:rsidRDefault="005E027A" w:rsidP="0008579D">
      <w:pPr>
        <w:jc w:val="both"/>
        <w:rPr>
          <w:sz w:val="22"/>
          <w:szCs w:val="22"/>
        </w:rPr>
      </w:pPr>
      <w:r>
        <w:rPr>
          <w:b/>
          <w:sz w:val="22"/>
          <w:szCs w:val="22"/>
        </w:rPr>
        <w:t>Artículo 4. Observatorio de Cumplimiento Normativo “Alfonso López Michelsen”.</w:t>
      </w:r>
      <w:r>
        <w:rPr>
          <w:sz w:val="22"/>
          <w:szCs w:val="22"/>
        </w:rPr>
        <w:t xml:space="preserve"> Créase al interior de la Secretaría Distrital de Gobierno (Dirección de Relaciones Políticas o quien haga sus veces) en un plazo de </w:t>
      </w:r>
      <w:r>
        <w:rPr>
          <w:color w:val="FF0000"/>
          <w:sz w:val="22"/>
          <w:szCs w:val="22"/>
        </w:rPr>
        <w:t xml:space="preserve">12 </w:t>
      </w:r>
      <w:r>
        <w:rPr>
          <w:sz w:val="22"/>
          <w:szCs w:val="22"/>
        </w:rPr>
        <w:t xml:space="preserve">meses, </w:t>
      </w:r>
      <w:r>
        <w:rPr>
          <w:color w:val="FF0000"/>
          <w:sz w:val="22"/>
          <w:szCs w:val="22"/>
        </w:rPr>
        <w:t>con el apoyo de la Secretaría Distrital de Planeación</w:t>
      </w:r>
      <w:r>
        <w:rPr>
          <w:sz w:val="22"/>
          <w:szCs w:val="22"/>
        </w:rPr>
        <w:t xml:space="preserve"> </w:t>
      </w:r>
      <w:r>
        <w:rPr>
          <w:color w:val="FF0000"/>
          <w:sz w:val="22"/>
          <w:szCs w:val="22"/>
        </w:rPr>
        <w:t>y la orientación de la Secretaría Jurídica Distrital y, teniendo como base la información producida a través de los sistemas de seguimiento de políticas y planes distritales</w:t>
      </w:r>
      <w:r>
        <w:rPr>
          <w:sz w:val="22"/>
          <w:szCs w:val="22"/>
        </w:rPr>
        <w:t>, un mecanismo que permita compilar los Acuerdos Distritales vigentes, hacerles seguimiento, generar y sistematizar informes de cumplimiento de manera estandarizada, emitir recomendaciones respecto a la implementación normativa, fortalecer el control social y político, y promover la transparencia, el acceso a la información pública y la rendición de cuentas.</w:t>
      </w:r>
    </w:p>
    <w:p w:rsidR="00350C15" w:rsidRDefault="00350C15" w:rsidP="0008579D">
      <w:pPr>
        <w:jc w:val="both"/>
        <w:rPr>
          <w:sz w:val="22"/>
          <w:szCs w:val="22"/>
        </w:rPr>
      </w:pPr>
    </w:p>
    <w:p w:rsidR="00350C15" w:rsidRDefault="005E027A" w:rsidP="0008579D">
      <w:pPr>
        <w:jc w:val="both"/>
        <w:rPr>
          <w:color w:val="FF0000"/>
          <w:sz w:val="22"/>
          <w:szCs w:val="22"/>
        </w:rPr>
      </w:pPr>
      <w:r>
        <w:rPr>
          <w:b/>
          <w:sz w:val="22"/>
          <w:szCs w:val="22"/>
        </w:rPr>
        <w:t>Parágrafo 1</w:t>
      </w:r>
      <w:r>
        <w:rPr>
          <w:sz w:val="22"/>
          <w:szCs w:val="22"/>
        </w:rPr>
        <w:t xml:space="preserve">. Una vez entre en vigencia el presente Acuerdo, en un plazo no superior a </w:t>
      </w:r>
      <w:r>
        <w:rPr>
          <w:color w:val="FF0000"/>
          <w:sz w:val="22"/>
          <w:szCs w:val="22"/>
        </w:rPr>
        <w:t>12</w:t>
      </w:r>
      <w:r>
        <w:rPr>
          <w:sz w:val="22"/>
          <w:szCs w:val="22"/>
        </w:rPr>
        <w:t xml:space="preserve"> meses, las entidades </w:t>
      </w:r>
      <w:r>
        <w:rPr>
          <w:color w:val="FF0000"/>
          <w:sz w:val="22"/>
          <w:szCs w:val="22"/>
        </w:rPr>
        <w:t>definidas en el presente artículo</w:t>
      </w:r>
      <w:r>
        <w:rPr>
          <w:sz w:val="22"/>
          <w:szCs w:val="22"/>
        </w:rPr>
        <w:t xml:space="preserve"> deberán</w:t>
      </w:r>
      <w:r>
        <w:rPr>
          <w:color w:val="FF0000"/>
          <w:sz w:val="22"/>
          <w:szCs w:val="22"/>
        </w:rPr>
        <w:t xml:space="preserve"> categorizar la información sobre los acuerdos aprobados para crear un metadato a partir de los sistemas de seguimiento a políticas públicas y planes de desarrollo Distrital que se encuentren vigentes.</w:t>
      </w:r>
    </w:p>
    <w:p w:rsidR="00350C15" w:rsidRDefault="00350C15" w:rsidP="0008579D">
      <w:pPr>
        <w:jc w:val="both"/>
        <w:rPr>
          <w:b/>
          <w:color w:val="FF0000"/>
          <w:sz w:val="22"/>
          <w:szCs w:val="22"/>
        </w:rPr>
      </w:pPr>
    </w:p>
    <w:p w:rsidR="00350C15" w:rsidRDefault="005E027A" w:rsidP="0008579D">
      <w:pPr>
        <w:jc w:val="both"/>
        <w:rPr>
          <w:sz w:val="22"/>
          <w:szCs w:val="22"/>
        </w:rPr>
      </w:pPr>
      <w:r>
        <w:rPr>
          <w:b/>
          <w:color w:val="FF0000"/>
          <w:sz w:val="22"/>
          <w:szCs w:val="22"/>
        </w:rPr>
        <w:t>Parágrafo 2</w:t>
      </w:r>
      <w:r>
        <w:rPr>
          <w:color w:val="FF0000"/>
          <w:sz w:val="22"/>
          <w:szCs w:val="22"/>
        </w:rPr>
        <w:t>. El primer mes de cada año, la Dirección de Relaciones Políticas o quien haga sus veces deberá remitir una certificación al Concejo de Bogotá sobre la actualización del observatorio, presentando sus principales avances y especificando la forma de consulta pública.</w:t>
      </w:r>
    </w:p>
    <w:p w:rsidR="00350C15" w:rsidRDefault="00350C15" w:rsidP="0008579D">
      <w:pPr>
        <w:jc w:val="both"/>
        <w:rPr>
          <w:b/>
          <w:sz w:val="22"/>
          <w:szCs w:val="22"/>
        </w:rPr>
      </w:pPr>
    </w:p>
    <w:p w:rsidR="00350C15" w:rsidRDefault="00350C15" w:rsidP="0008579D">
      <w:pPr>
        <w:jc w:val="both"/>
        <w:rPr>
          <w:b/>
          <w:sz w:val="22"/>
          <w:szCs w:val="22"/>
        </w:rPr>
      </w:pPr>
    </w:p>
    <w:p w:rsidR="00350C15" w:rsidRDefault="005E027A" w:rsidP="0008579D">
      <w:pPr>
        <w:jc w:val="both"/>
        <w:rPr>
          <w:sz w:val="22"/>
          <w:szCs w:val="22"/>
        </w:rPr>
      </w:pPr>
      <w:r>
        <w:rPr>
          <w:b/>
          <w:color w:val="FF0000"/>
          <w:sz w:val="22"/>
          <w:szCs w:val="22"/>
        </w:rPr>
        <w:t>Artículo 5</w:t>
      </w:r>
      <w:r>
        <w:rPr>
          <w:b/>
          <w:sz w:val="22"/>
          <w:szCs w:val="22"/>
        </w:rPr>
        <w:t>. Proceso de racionalización normativa.</w:t>
      </w:r>
      <w:r>
        <w:rPr>
          <w:sz w:val="22"/>
          <w:szCs w:val="22"/>
        </w:rPr>
        <w:t xml:space="preserve"> La Secretaría de Gobierno, a través de la Dirección de Relaciones Políticas o quien haga sus veces, presentará al Concejo Distrital en un término de 6 meses un proyecto de racionalización normativa que haga más efectivo el ejercicio de la función normativa del Concejo de la ciudad y facilite el cumplimiento por parte de la administración</w:t>
      </w:r>
      <w:r>
        <w:rPr>
          <w:color w:val="FF0000"/>
          <w:sz w:val="22"/>
          <w:szCs w:val="22"/>
        </w:rPr>
        <w:t>, teniendo en cuenta los informe a los que se encuentran obligados.</w:t>
      </w:r>
    </w:p>
    <w:p w:rsidR="00350C15" w:rsidRDefault="00350C15" w:rsidP="0008579D">
      <w:pPr>
        <w:jc w:val="both"/>
        <w:rPr>
          <w:b/>
          <w:sz w:val="22"/>
          <w:szCs w:val="22"/>
        </w:rPr>
      </w:pPr>
    </w:p>
    <w:p w:rsidR="00350C15" w:rsidRDefault="005E027A" w:rsidP="0008579D">
      <w:pPr>
        <w:jc w:val="both"/>
        <w:rPr>
          <w:sz w:val="22"/>
          <w:szCs w:val="22"/>
        </w:rPr>
      </w:pPr>
      <w:r>
        <w:rPr>
          <w:b/>
          <w:color w:val="FF0000"/>
          <w:sz w:val="22"/>
          <w:szCs w:val="22"/>
        </w:rPr>
        <w:t>Artículo 6. Publicidad del contenido del presente Acuerdo</w:t>
      </w:r>
      <w:r>
        <w:rPr>
          <w:color w:val="FF0000"/>
          <w:sz w:val="22"/>
          <w:szCs w:val="22"/>
        </w:rPr>
        <w:t>. Teniendo en cuenta el impacto que se genera al interior de las entidades a cargo de los informes obligatorios, el contenido del presente informe deberá presentarse y socializarse con cada una de las entidades responsables, con el fin de que se coordine la información con la DRP y la SDP o quienes hagan sus veces.</w:t>
      </w:r>
    </w:p>
    <w:p w:rsidR="00350C15" w:rsidRDefault="00350C15" w:rsidP="0008579D">
      <w:pPr>
        <w:jc w:val="both"/>
        <w:rPr>
          <w:sz w:val="22"/>
          <w:szCs w:val="22"/>
        </w:rPr>
      </w:pPr>
    </w:p>
    <w:p w:rsidR="00350C15" w:rsidRDefault="005E027A" w:rsidP="0008579D">
      <w:pPr>
        <w:jc w:val="both"/>
        <w:rPr>
          <w:sz w:val="22"/>
          <w:szCs w:val="22"/>
        </w:rPr>
      </w:pPr>
      <w:r>
        <w:rPr>
          <w:b/>
          <w:color w:val="FF0000"/>
          <w:sz w:val="22"/>
          <w:szCs w:val="22"/>
        </w:rPr>
        <w:lastRenderedPageBreak/>
        <w:t>Artículo 7. Vigencias y derogatorias</w:t>
      </w:r>
      <w:r>
        <w:rPr>
          <w:b/>
          <w:sz w:val="22"/>
          <w:szCs w:val="22"/>
        </w:rPr>
        <w:t xml:space="preserve">. </w:t>
      </w:r>
      <w:r>
        <w:rPr>
          <w:sz w:val="22"/>
          <w:szCs w:val="22"/>
        </w:rPr>
        <w:t>El presente acuerdo rige a partir de la fecha de su publicación</w:t>
      </w:r>
      <w:r>
        <w:rPr>
          <w:color w:val="FF0000"/>
          <w:sz w:val="22"/>
          <w:szCs w:val="22"/>
        </w:rPr>
        <w:t xml:space="preserve"> y deroga las disposiciones contenidas especialmente  en el artículo 4 del Acuerdo 737 de 2019, Artículo 3 del Acuerdo 738 de 2019, artículo 3 del Acuerdo 739 de 2019, artículo 3 del Acuerdo 742 de 2019, artículo 3 del Acuerdo 743 de 2019, artículo 4 del acuerdo 751 de 2019, artículo 8 del acuerdo 752 de 2019, artículo 10 del acuerdo 757 de 2019, Artículo 8 del acuerdo 760 de 2020, artículo 16 del acuerdo 765 de 2020, artículo 4 del acuerdo 766 de 2020, artículo 4 del acuerdo 769 de 2020, artículo 4 del acuerdo 772 de 2020, artículo 4 del acuerdo 777 de 2020, artículo 8 del acuerdo 780 de 2020, artículo 9 del acuerdo 790 de 2020, artículo 8 del acuerdo 792 de 2020, artículo 5 del acuerdo 798 de 2021, artículo 7 del acuerdo 800 de 2021, artículo 5 del acuerdo 804 de 2021, artículo 10 del acuerdo 808 de 2021, artículo 8 del acuerdo 813 de 2021, artículo 6 del acuerdo 817 de 2021, artículo 5 del acuerdo 819 de 2021, artículo 6 del acuerdo 821 de 2021, artículo 9 del acuerdo 828 de 2021, artículo 4 del acuerdo 835 de 2022, artículo 20 del acuerdo 841 de 2022, artículo 5 del acuerdo 846 de 2022, artículo 12 del acuerdo 847 de 2022, artículo 8 del acuerdo 850 de 2022, artículo 7 del acuerdo 854 de 2022, artículo 12 del acuerdo 864 de 2022, artículo 8 del acuerdo 866 de 2023, artículo 5 del acuerdo 867 de 2023, artículo 10 del acuerdo 875 de 2023, artículo 6 del acuerdo 876 de 2023, artículo 5 del acuerdo 877 de 2023,   artículo 10 del acuerdo 880 de 2023, artículo 5 del acuerdo 883 de 2023, artículo 5 del acuerdo 885 de 2023, artículo 7 del acuerdo 887 de 2023, artículo 15 del acuerdo 888 de 2023, artículo18 del acuerdo 893 de 2023, artículo 7 del acuerdo 894 de 2023, artículo 5  del acuerdo 895 de 2023, artículo 22 del acuerdo 897 de 2023, artículo 9 del acuerdo 900 de 2023, artículo 5 del acuerdo 905 de 2023,  artículo 5 del acuerdo 909 de 2023, artículo 6 del acuerdo 911 de 2023, artículo 54 del acuerdo 915 de 2023, artículo 9 del acuerdo 916 de 2023, artículo 3 del acuerdo 917 de 2023, artículo 10 del acuerdo 921 de 2023,  artículo 4 del acuerdo 922 de 2023,  artículo 7 del acuerdo 925 de 2023, artículo 5 del acuerdo 926 de 2023, artículo 4 del acuerdo 934 de 2024, artículo 9 del acuerdo 939 de 2024, artículo 5 del acuerdo 941 de 2024, artículo 6 del acuerdo 944 de 2024, artículo 4 del acuerdo 948 de 2024, artículo 8 del acuerdo 951 de 2024, artículo 16 del acuerdo 952 de 2024, artículo 9 del acuerdo 956 de 2024, artículo 6 del acuerdo 957 de 2024, artículo 6 del acuerdo 958 de 2024, artículo 8 del acuerdo 962 de 2024, artículo 7 del acuerdo 963 de 2024, artículo 6 del acuerdo 964 de 2024, artículo 8 del acuerdo 966 de 2024, artículo 5 del acuerdo 968 de 2024.</w:t>
      </w:r>
    </w:p>
    <w:p w:rsidR="00350C15" w:rsidRDefault="00350C15" w:rsidP="0008579D">
      <w:pPr>
        <w:jc w:val="center"/>
        <w:rPr>
          <w:b/>
          <w:sz w:val="22"/>
          <w:szCs w:val="22"/>
        </w:rPr>
      </w:pPr>
    </w:p>
    <w:p w:rsidR="00350C15" w:rsidRDefault="005E027A" w:rsidP="0008579D">
      <w:pPr>
        <w:jc w:val="center"/>
        <w:rPr>
          <w:b/>
          <w:sz w:val="22"/>
          <w:szCs w:val="22"/>
        </w:rPr>
      </w:pPr>
      <w:r>
        <w:rPr>
          <w:b/>
          <w:sz w:val="22"/>
          <w:szCs w:val="22"/>
        </w:rPr>
        <w:t>PUBLIQUESE Y CÚMPLASE.</w:t>
      </w:r>
    </w:p>
    <w:p w:rsidR="00350C15" w:rsidRDefault="00350C15" w:rsidP="0008579D">
      <w:pPr>
        <w:jc w:val="center"/>
        <w:rPr>
          <w:b/>
          <w:sz w:val="22"/>
          <w:szCs w:val="22"/>
        </w:rPr>
      </w:pPr>
    </w:p>
    <w:sectPr w:rsidR="00350C15">
      <w:headerReference w:type="default" r:id="rId10"/>
      <w:footerReference w:type="even" r:id="rId11"/>
      <w:footerReference w:type="default" r:id="rId12"/>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648" w:rsidRDefault="00E63648">
      <w:r>
        <w:separator/>
      </w:r>
    </w:p>
  </w:endnote>
  <w:endnote w:type="continuationSeparator" w:id="0">
    <w:p w:rsidR="00E63648" w:rsidRDefault="00E6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C15" w:rsidRDefault="005E027A">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350C15" w:rsidRDefault="00350C15">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C15" w:rsidRDefault="00350C15">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648" w:rsidRDefault="00E63648">
      <w:r>
        <w:separator/>
      </w:r>
    </w:p>
  </w:footnote>
  <w:footnote w:type="continuationSeparator" w:id="0">
    <w:p w:rsidR="00E63648" w:rsidRDefault="00E63648">
      <w:r>
        <w:continuationSeparator/>
      </w:r>
    </w:p>
  </w:footnote>
  <w:footnote w:id="1">
    <w:p w:rsidR="00350C15" w:rsidRDefault="005E027A">
      <w:pPr>
        <w:pBdr>
          <w:top w:val="nil"/>
          <w:left w:val="nil"/>
          <w:bottom w:val="nil"/>
          <w:right w:val="nil"/>
          <w:between w:val="nil"/>
        </w:pBdr>
        <w:rPr>
          <w:sz w:val="20"/>
          <w:szCs w:val="20"/>
        </w:rPr>
      </w:pPr>
      <w:r>
        <w:rPr>
          <w:vertAlign w:val="superscript"/>
        </w:rPr>
        <w:footnoteRef/>
      </w:r>
      <w:r>
        <w:rPr>
          <w:sz w:val="20"/>
          <w:szCs w:val="20"/>
        </w:rPr>
        <w:t xml:space="preserve"> https://www.geoidep.gob.pe/catalogo-metadatos/que-son-los-metadatos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C15" w:rsidRDefault="00350C15">
    <w:pPr>
      <w:widowControl w:val="0"/>
      <w:pBdr>
        <w:top w:val="nil"/>
        <w:left w:val="nil"/>
        <w:bottom w:val="nil"/>
        <w:right w:val="nil"/>
        <w:between w:val="nil"/>
      </w:pBdr>
      <w:spacing w:line="276" w:lineRule="auto"/>
      <w:rPr>
        <w:sz w:val="20"/>
        <w:szCs w:val="20"/>
      </w:rPr>
    </w:pPr>
  </w:p>
  <w:tbl>
    <w:tblPr>
      <w:tblStyle w:val="a9"/>
      <w:tblW w:w="8830" w:type="dxa"/>
      <w:tblInd w:w="0" w:type="dxa"/>
      <w:tblLayout w:type="fixed"/>
      <w:tblLook w:val="0000" w:firstRow="0" w:lastRow="0" w:firstColumn="0" w:lastColumn="0" w:noHBand="0" w:noVBand="0"/>
    </w:tblPr>
    <w:tblGrid>
      <w:gridCol w:w="2361"/>
      <w:gridCol w:w="4235"/>
      <w:gridCol w:w="2234"/>
    </w:tblGrid>
    <w:tr w:rsidR="00350C15">
      <w:trPr>
        <w:trHeight w:val="454"/>
      </w:trPr>
      <w:tc>
        <w:tcPr>
          <w:tcW w:w="2361" w:type="dxa"/>
          <w:vMerge w:val="restart"/>
          <w:tcBorders>
            <w:top w:val="single" w:sz="4" w:space="0" w:color="000000"/>
            <w:left w:val="single" w:sz="4" w:space="0" w:color="000000"/>
            <w:right w:val="single" w:sz="4" w:space="0" w:color="000000"/>
          </w:tcBorders>
          <w:vAlign w:val="center"/>
        </w:tcPr>
        <w:p w:rsidR="00350C15" w:rsidRDefault="00350C15">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350C15" w:rsidRDefault="005E027A">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350C15" w:rsidRDefault="005E027A">
          <w:pPr>
            <w:rPr>
              <w:sz w:val="16"/>
              <w:szCs w:val="16"/>
            </w:rPr>
          </w:pPr>
          <w:r>
            <w:rPr>
              <w:sz w:val="16"/>
              <w:szCs w:val="16"/>
            </w:rPr>
            <w:t>CÓDIGO</w:t>
          </w:r>
          <w:r>
            <w:rPr>
              <w:color w:val="3366FF"/>
              <w:sz w:val="16"/>
              <w:szCs w:val="16"/>
            </w:rPr>
            <w:t xml:space="preserve">: </w:t>
          </w:r>
          <w:r>
            <w:rPr>
              <w:sz w:val="16"/>
              <w:szCs w:val="16"/>
            </w:rPr>
            <w:t>GNV-FO-003</w:t>
          </w:r>
        </w:p>
      </w:tc>
    </w:tr>
    <w:tr w:rsidR="00350C15">
      <w:trPr>
        <w:trHeight w:val="454"/>
      </w:trPr>
      <w:tc>
        <w:tcPr>
          <w:tcW w:w="2361" w:type="dxa"/>
          <w:vMerge/>
          <w:tcBorders>
            <w:top w:val="single" w:sz="4" w:space="0" w:color="000000"/>
            <w:left w:val="single" w:sz="4" w:space="0" w:color="000000"/>
            <w:right w:val="single" w:sz="4" w:space="0" w:color="000000"/>
          </w:tcBorders>
          <w:vAlign w:val="center"/>
        </w:tcPr>
        <w:p w:rsidR="00350C15" w:rsidRDefault="00350C15">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350C15" w:rsidRDefault="005E027A">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350C15" w:rsidRDefault="005E027A">
          <w:pPr>
            <w:rPr>
              <w:sz w:val="16"/>
              <w:szCs w:val="16"/>
            </w:rPr>
          </w:pPr>
          <w:r>
            <w:rPr>
              <w:sz w:val="16"/>
              <w:szCs w:val="16"/>
            </w:rPr>
            <w:t>VERSIÓN:    01</w:t>
          </w:r>
        </w:p>
      </w:tc>
    </w:tr>
    <w:tr w:rsidR="00350C15">
      <w:trPr>
        <w:trHeight w:val="454"/>
      </w:trPr>
      <w:tc>
        <w:tcPr>
          <w:tcW w:w="2361" w:type="dxa"/>
          <w:vMerge/>
          <w:tcBorders>
            <w:top w:val="single" w:sz="4" w:space="0" w:color="000000"/>
            <w:left w:val="single" w:sz="4" w:space="0" w:color="000000"/>
            <w:right w:val="single" w:sz="4" w:space="0" w:color="000000"/>
          </w:tcBorders>
          <w:vAlign w:val="center"/>
        </w:tcPr>
        <w:p w:rsidR="00350C15" w:rsidRDefault="00350C15">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rsidR="00350C15" w:rsidRDefault="00350C15">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350C15" w:rsidRDefault="005E027A">
          <w:pPr>
            <w:rPr>
              <w:sz w:val="16"/>
              <w:szCs w:val="16"/>
            </w:rPr>
          </w:pPr>
          <w:r>
            <w:rPr>
              <w:sz w:val="16"/>
              <w:szCs w:val="16"/>
            </w:rPr>
            <w:t>FECHA: 14-Nov-2019</w:t>
          </w:r>
        </w:p>
      </w:tc>
    </w:tr>
  </w:tbl>
  <w:p w:rsidR="00350C15" w:rsidRDefault="005E027A">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-895343</wp:posOffset>
          </wp:positionV>
          <wp:extent cx="752475" cy="885825"/>
          <wp:effectExtent l="0" t="0" r="0" b="0"/>
          <wp:wrapNone/>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A1025"/>
    <w:multiLevelType w:val="multilevel"/>
    <w:tmpl w:val="06B23B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8005A71"/>
    <w:multiLevelType w:val="multilevel"/>
    <w:tmpl w:val="D6E4771E"/>
    <w:lvl w:ilvl="0">
      <w:start w:val="3"/>
      <w:numFmt w:val="decimal"/>
      <w:lvlText w:val="%1."/>
      <w:lvlJc w:val="left"/>
      <w:pPr>
        <w:ind w:left="360" w:hanging="360"/>
      </w:pPr>
      <w:rPr>
        <w:b/>
      </w:rPr>
    </w:lvl>
    <w:lvl w:ilvl="1">
      <w:start w:val="2"/>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2" w15:restartNumberingAfterBreak="0">
    <w:nsid w:val="2F436243"/>
    <w:multiLevelType w:val="multilevel"/>
    <w:tmpl w:val="F7783F7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05930AA"/>
    <w:multiLevelType w:val="multilevel"/>
    <w:tmpl w:val="615A2E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505A5E21"/>
    <w:multiLevelType w:val="multilevel"/>
    <w:tmpl w:val="E12017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4D42AC7"/>
    <w:multiLevelType w:val="multilevel"/>
    <w:tmpl w:val="B6A0A630"/>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800" w:hanging="720"/>
      </w:pPr>
      <w:rPr>
        <w:rFonts w:ascii="Arial" w:eastAsia="Arial" w:hAnsi="Arial" w:cs="Arial"/>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7AA279D3"/>
    <w:multiLevelType w:val="multilevel"/>
    <w:tmpl w:val="BF12BCC4"/>
    <w:lvl w:ilvl="0">
      <w:start w:val="1"/>
      <w:numFmt w:val="bullet"/>
      <w:lvlText w:val="●"/>
      <w:lvlJc w:val="left"/>
      <w:pPr>
        <w:ind w:left="720" w:hanging="360"/>
      </w:pPr>
      <w:rPr>
        <w:rFonts w:ascii="Noto Sans Symbols" w:eastAsia="Noto Sans Symbols" w:hAnsi="Noto Sans Symbols" w:cs="Noto Sans Symbols"/>
        <w:color w:val="FF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4"/>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C15"/>
    <w:rsid w:val="0008579D"/>
    <w:rsid w:val="00350C15"/>
    <w:rsid w:val="0040399D"/>
    <w:rsid w:val="005E027A"/>
    <w:rsid w:val="006577A1"/>
    <w:rsid w:val="00C962C5"/>
    <w:rsid w:val="00E63648"/>
    <w:rsid w:val="00E965ED"/>
    <w:rsid w:val="00F91F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C4D64E-4EF0-47EA-85B4-4F58FF5B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val="es-CO"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4"/>
    <w:tblPr>
      <w:tblStyleRowBandSize w:val="1"/>
      <w:tblStyleColBandSize w:val="1"/>
      <w:tblCellMar>
        <w:left w:w="108" w:type="dxa"/>
        <w:right w:w="108" w:type="dxa"/>
      </w:tblCellMar>
    </w:tblPr>
  </w:style>
  <w:style w:type="table" w:customStyle="1" w:styleId="1">
    <w:name w:val="1"/>
    <w:basedOn w:val="TableNormal4"/>
    <w:tblPr>
      <w:tblStyleRowBandSize w:val="1"/>
      <w:tblStyleColBandSize w:val="1"/>
      <w:tblCellMar>
        <w:left w:w="70" w:type="dxa"/>
        <w:right w:w="70" w:type="dxa"/>
      </w:tblCellMar>
    </w:tblPr>
  </w:style>
  <w:style w:type="paragraph" w:styleId="Textonotaalfinal">
    <w:name w:val="endnote text"/>
    <w:basedOn w:val="Normal"/>
    <w:link w:val="TextonotaalfinalCar"/>
    <w:uiPriority w:val="99"/>
    <w:semiHidden/>
    <w:unhideWhenUsed/>
    <w:rsid w:val="000E2CA3"/>
    <w:rPr>
      <w:sz w:val="20"/>
      <w:szCs w:val="20"/>
    </w:rPr>
  </w:style>
  <w:style w:type="character" w:customStyle="1" w:styleId="TextonotaalfinalCar">
    <w:name w:val="Texto nota al final Car"/>
    <w:basedOn w:val="Fuentedeprrafopredeter"/>
    <w:link w:val="Textonotaalfinal"/>
    <w:uiPriority w:val="99"/>
    <w:semiHidden/>
    <w:rsid w:val="000E2CA3"/>
    <w:rPr>
      <w:color w:val="000000"/>
      <w:sz w:val="20"/>
      <w:szCs w:val="20"/>
    </w:rPr>
  </w:style>
  <w:style w:type="character" w:styleId="Refdenotaalfinal">
    <w:name w:val="endnote reference"/>
    <w:basedOn w:val="Fuentedeprrafopredeter"/>
    <w:uiPriority w:val="99"/>
    <w:semiHidden/>
    <w:unhideWhenUsed/>
    <w:rsid w:val="000E2CA3"/>
    <w:rPr>
      <w:vertAlign w:val="superscript"/>
    </w:rPr>
  </w:style>
  <w:style w:type="paragraph" w:styleId="Textonotapie">
    <w:name w:val="footnote text"/>
    <w:basedOn w:val="Normal"/>
    <w:link w:val="TextonotapieCar"/>
    <w:uiPriority w:val="99"/>
    <w:semiHidden/>
    <w:unhideWhenUsed/>
    <w:rsid w:val="00625A24"/>
    <w:rPr>
      <w:sz w:val="20"/>
      <w:szCs w:val="20"/>
    </w:rPr>
  </w:style>
  <w:style w:type="character" w:customStyle="1" w:styleId="TextonotapieCar">
    <w:name w:val="Texto nota pie Car"/>
    <w:basedOn w:val="Fuentedeprrafopredeter"/>
    <w:link w:val="Textonotapie"/>
    <w:uiPriority w:val="99"/>
    <w:semiHidden/>
    <w:rsid w:val="00625A24"/>
    <w:rPr>
      <w:color w:val="000000"/>
      <w:sz w:val="20"/>
      <w:szCs w:val="20"/>
    </w:rPr>
  </w:style>
  <w:style w:type="character" w:styleId="Refdenotaalpie">
    <w:name w:val="footnote reference"/>
    <w:basedOn w:val="Fuentedeprrafopredeter"/>
    <w:uiPriority w:val="99"/>
    <w:semiHidden/>
    <w:unhideWhenUsed/>
    <w:rsid w:val="00625A24"/>
    <w:rPr>
      <w:vertAlign w:val="superscript"/>
    </w:rPr>
  </w:style>
  <w:style w:type="paragraph" w:styleId="Bibliografa">
    <w:name w:val="Bibliography"/>
    <w:basedOn w:val="Normal"/>
    <w:next w:val="Normal"/>
    <w:uiPriority w:val="37"/>
    <w:unhideWhenUsed/>
    <w:rsid w:val="0064016C"/>
  </w:style>
  <w:style w:type="table" w:customStyle="1" w:styleId="a">
    <w:basedOn w:val="TableNormal4"/>
    <w:tblPr>
      <w:tblStyleRowBandSize w:val="1"/>
      <w:tblStyleColBandSize w:val="1"/>
      <w:tblCellMar>
        <w:left w:w="108" w:type="dxa"/>
        <w:right w:w="108" w:type="dxa"/>
      </w:tblCellMar>
    </w:tblPr>
  </w:style>
  <w:style w:type="table" w:customStyle="1" w:styleId="a0">
    <w:basedOn w:val="TableNormal4"/>
    <w:tblPr>
      <w:tblStyleRowBandSize w:val="1"/>
      <w:tblStyleColBandSize w:val="1"/>
      <w:tblCellMar>
        <w:left w:w="70" w:type="dxa"/>
        <w:right w:w="70" w:type="dxa"/>
      </w:tblCellMar>
    </w:tblPr>
  </w:style>
  <w:style w:type="table" w:customStyle="1" w:styleId="a1">
    <w:basedOn w:val="TableNormal4"/>
    <w:tblPr>
      <w:tblStyleRowBandSize w:val="1"/>
      <w:tblStyleColBandSize w:val="1"/>
      <w:tblCellMar>
        <w:left w:w="108" w:type="dxa"/>
        <w:right w:w="108" w:type="dxa"/>
      </w:tblCellMar>
    </w:tblPr>
  </w:style>
  <w:style w:type="table" w:customStyle="1" w:styleId="a2">
    <w:basedOn w:val="TableNormal4"/>
    <w:tblPr>
      <w:tblStyleRowBandSize w:val="1"/>
      <w:tblStyleColBandSize w:val="1"/>
      <w:tblCellMar>
        <w:top w:w="100" w:type="dxa"/>
        <w:left w:w="100" w:type="dxa"/>
        <w:bottom w:w="100" w:type="dxa"/>
        <w:right w:w="100" w:type="dxa"/>
      </w:tblCellMar>
    </w:tblPr>
  </w:style>
  <w:style w:type="table" w:customStyle="1" w:styleId="a3">
    <w:basedOn w:val="TableNormal4"/>
    <w:tblPr>
      <w:tblStyleRowBandSize w:val="1"/>
      <w:tblStyleColBandSize w:val="1"/>
      <w:tblCellMar>
        <w:left w:w="70" w:type="dxa"/>
        <w:right w:w="70" w:type="dxa"/>
      </w:tblCellMar>
    </w:tblPr>
  </w:style>
  <w:style w:type="table" w:customStyle="1" w:styleId="a4">
    <w:basedOn w:val="TableNormal4"/>
    <w:tblPr>
      <w:tblStyleRowBandSize w:val="1"/>
      <w:tblStyleColBandSize w:val="1"/>
      <w:tblCellMar>
        <w:top w:w="100" w:type="dxa"/>
        <w:left w:w="100" w:type="dxa"/>
        <w:bottom w:w="100" w:type="dxa"/>
        <w:right w:w="100" w:type="dxa"/>
      </w:tblCellMar>
    </w:tblPr>
  </w:style>
  <w:style w:type="table" w:customStyle="1" w:styleId="a5">
    <w:basedOn w:val="TableNormal4"/>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left w:w="70" w:type="dxa"/>
        <w:right w:w="70" w:type="dxa"/>
      </w:tblCellMar>
    </w:tblPr>
  </w:style>
  <w:style w:type="paragraph" w:styleId="NormalWeb">
    <w:name w:val="Normal (Web)"/>
    <w:basedOn w:val="Normal"/>
    <w:uiPriority w:val="99"/>
    <w:semiHidden/>
    <w:unhideWhenUsed/>
    <w:rsid w:val="00106FF4"/>
    <w:rPr>
      <w:rFonts w:ascii="Times New Roman" w:hAnsi="Times New Roman" w:cs="Times New Roman"/>
    </w:rPr>
  </w:style>
  <w:style w:type="character" w:customStyle="1" w:styleId="UnresolvedMention">
    <w:name w:val="Unresolved Mention"/>
    <w:basedOn w:val="Fuentedeprrafopredeter"/>
    <w:uiPriority w:val="99"/>
    <w:semiHidden/>
    <w:unhideWhenUsed/>
    <w:rsid w:val="008A4286"/>
    <w:rPr>
      <w:color w:val="605E5C"/>
      <w:shd w:val="clear" w:color="auto" w:fill="E1DFDD"/>
    </w:rPr>
  </w:style>
  <w:style w:type="table" w:customStyle="1" w:styleId="a8">
    <w:basedOn w:val="TableNormal0"/>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du.gov.co/page/valorizacion-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IqxBocfNj8whRUEc2/zolr6Qug==">CgMxLjAyCGguZ2pkZ3hzMg5oLmFsb21hNzVqbGs5czIOaC4xams2Zm9hbnIzbXg4AHIhMVZGS3RZRlNReUhEMVdaMHVtVWx4STVIS21wb0hTNmsx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6593</Words>
  <Characters>36265</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cp:lastPrinted>2025-05-19T20:01:00Z</cp:lastPrinted>
  <dcterms:created xsi:type="dcterms:W3CDTF">2025-05-19T21:05:00Z</dcterms:created>
  <dcterms:modified xsi:type="dcterms:W3CDTF">2025-05-19T21:14:00Z</dcterms:modified>
</cp:coreProperties>
</file>